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BC5" w:rsidRDefault="00AC704C" w:rsidP="00AC704C">
      <w:pPr>
        <w:snapToGrid w:val="0"/>
        <w:jc w:val="center"/>
        <w:rPr>
          <w:rFonts w:ascii="方正小标宋_GBK" w:eastAsia="方正小标宋_GBK" w:hAnsi="宋体" w:hint="eastAsia"/>
          <w:sz w:val="40"/>
          <w:szCs w:val="40"/>
        </w:rPr>
      </w:pPr>
      <w:r>
        <w:rPr>
          <w:rFonts w:ascii="方正小标宋_GBK" w:eastAsia="方正小标宋_GBK" w:hAnsi="宋体" w:hint="eastAsia"/>
          <w:sz w:val="40"/>
          <w:szCs w:val="40"/>
        </w:rPr>
        <w:t>京津唐电网燃煤发电机组灵活性改造能力</w:t>
      </w:r>
    </w:p>
    <w:p w:rsidR="00AC704C" w:rsidRDefault="00AC704C" w:rsidP="00AC704C">
      <w:pPr>
        <w:snapToGrid w:val="0"/>
        <w:jc w:val="center"/>
        <w:rPr>
          <w:rFonts w:ascii="方正小标宋_GBK" w:eastAsia="方正小标宋_GBK" w:hAnsi="宋体" w:hint="eastAsia"/>
          <w:sz w:val="40"/>
          <w:szCs w:val="40"/>
        </w:rPr>
      </w:pPr>
      <w:r>
        <w:rPr>
          <w:rFonts w:ascii="方正小标宋_GBK" w:eastAsia="方正小标宋_GBK" w:hAnsi="宋体" w:hint="eastAsia"/>
          <w:sz w:val="40"/>
          <w:szCs w:val="40"/>
        </w:rPr>
        <w:t>验收监管暂行办法</w:t>
      </w:r>
    </w:p>
    <w:p w:rsidR="00AC704C" w:rsidRDefault="00AC704C" w:rsidP="00AC704C">
      <w:pPr>
        <w:jc w:val="center"/>
        <w:rPr>
          <w:rFonts w:ascii="仿宋" w:eastAsia="仿宋" w:hAnsi="仿宋" w:hint="eastAsia"/>
          <w:b/>
          <w:sz w:val="30"/>
          <w:szCs w:val="30"/>
        </w:rPr>
      </w:pPr>
    </w:p>
    <w:p w:rsidR="00AC704C" w:rsidRDefault="00AC704C" w:rsidP="00AC704C">
      <w:pPr>
        <w:snapToGrid w:val="0"/>
        <w:spacing w:line="560" w:lineRule="exact"/>
        <w:jc w:val="center"/>
        <w:rPr>
          <w:rFonts w:ascii="黑体" w:eastAsia="黑体" w:hAnsi="黑体" w:hint="eastAsia"/>
          <w:sz w:val="30"/>
          <w:szCs w:val="30"/>
        </w:rPr>
      </w:pPr>
      <w:r>
        <w:rPr>
          <w:rFonts w:ascii="黑体" w:eastAsia="黑体" w:hAnsi="黑体" w:hint="eastAsia"/>
          <w:sz w:val="30"/>
          <w:szCs w:val="30"/>
        </w:rPr>
        <w:t>第一章 总则</w:t>
      </w:r>
    </w:p>
    <w:p w:rsidR="00AC704C" w:rsidRDefault="00AC704C" w:rsidP="00AC704C">
      <w:pPr>
        <w:snapToGrid w:val="0"/>
        <w:spacing w:line="560" w:lineRule="exact"/>
        <w:ind w:firstLineChars="200" w:firstLine="602"/>
        <w:rPr>
          <w:rFonts w:ascii="仿宋_GB2312" w:eastAsia="仿宋_GB2312" w:hAnsi="仿宋" w:hint="eastAsia"/>
          <w:sz w:val="30"/>
          <w:szCs w:val="30"/>
        </w:rPr>
      </w:pPr>
      <w:r>
        <w:rPr>
          <w:rFonts w:ascii="仿宋_GB2312" w:eastAsia="仿宋_GB2312" w:hAnsi="仿宋" w:hint="eastAsia"/>
          <w:b/>
          <w:sz w:val="30"/>
          <w:szCs w:val="30"/>
        </w:rPr>
        <w:t xml:space="preserve">第一条 </w:t>
      </w:r>
      <w:r>
        <w:rPr>
          <w:rFonts w:ascii="仿宋_GB2312" w:eastAsia="仿宋_GB2312" w:hAnsi="仿宋" w:hint="eastAsia"/>
          <w:sz w:val="30"/>
          <w:szCs w:val="30"/>
        </w:rPr>
        <w:t>为贯彻落实“碳达峰、碳中和”目标，依据《国家发展改革委 国家能源局关于提升电力系统调节的指导意见》（发改能源〔2018〕364号）、《国家发展改革委 国家能源局关于开展全国煤电机组改造升级的通知》（发改运行〔2021〕1519号）</w:t>
      </w:r>
      <w:r>
        <w:rPr>
          <w:rFonts w:ascii="仿宋_GB2312" w:eastAsia="仿宋_GB2312" w:hAnsi="宋体" w:hint="eastAsia"/>
          <w:sz w:val="30"/>
          <w:szCs w:val="30"/>
        </w:rPr>
        <w:t>有关要求</w:t>
      </w:r>
      <w:r>
        <w:rPr>
          <w:rFonts w:ascii="仿宋_GB2312" w:eastAsia="仿宋_GB2312" w:hAnsi="仿宋" w:hint="eastAsia"/>
          <w:sz w:val="30"/>
          <w:szCs w:val="30"/>
        </w:rPr>
        <w:t>，提升电力系统调节能力和灵活性，提升新能源消纳能力，保障电力系统安全稳定运行，结合京津唐电网实际，制定本办法。</w:t>
      </w:r>
    </w:p>
    <w:p w:rsidR="00AC704C" w:rsidRDefault="00AC704C" w:rsidP="00AC704C">
      <w:pPr>
        <w:snapToGrid w:val="0"/>
        <w:spacing w:line="560" w:lineRule="exact"/>
        <w:ind w:firstLineChars="200" w:firstLine="602"/>
        <w:rPr>
          <w:rFonts w:ascii="仿宋_GB2312" w:eastAsia="仿宋_GB2312" w:hAnsi="仿宋" w:hint="eastAsia"/>
          <w:sz w:val="30"/>
          <w:szCs w:val="30"/>
        </w:rPr>
      </w:pPr>
      <w:r>
        <w:rPr>
          <w:rFonts w:ascii="仿宋_GB2312" w:eastAsia="仿宋_GB2312" w:hAnsi="仿宋" w:hint="eastAsia"/>
          <w:b/>
          <w:sz w:val="30"/>
          <w:szCs w:val="30"/>
        </w:rPr>
        <w:t xml:space="preserve">第二条 </w:t>
      </w:r>
      <w:r>
        <w:rPr>
          <w:rFonts w:ascii="仿宋_GB2312" w:eastAsia="仿宋_GB2312" w:hAnsi="仿宋" w:hint="eastAsia"/>
          <w:sz w:val="30"/>
          <w:szCs w:val="30"/>
        </w:rPr>
        <w:t>本办法中的灵活性改造，是指燃煤发电机组在保证发电设备安全、涉网性能和环保排放合格条件下，通过对机组设备进行改造或新建其他辅助设备的方式，纯凝运行时实现出力下限不高于35%额定容量，出力上限保持100%额定容量运行；供热机组在保证供热需求的条件下，实现出力下限不高于40%额定容量，出力上限不低于85%额定容量运行。</w:t>
      </w:r>
    </w:p>
    <w:p w:rsidR="00AC704C" w:rsidRDefault="00AC704C" w:rsidP="00AC704C">
      <w:pPr>
        <w:snapToGrid w:val="0"/>
        <w:spacing w:line="560" w:lineRule="exact"/>
        <w:ind w:firstLineChars="200" w:firstLine="602"/>
        <w:rPr>
          <w:rFonts w:ascii="仿宋_GB2312" w:eastAsia="仿宋_GB2312" w:hAnsi="仿宋" w:hint="eastAsia"/>
          <w:sz w:val="30"/>
          <w:szCs w:val="30"/>
        </w:rPr>
      </w:pPr>
      <w:r>
        <w:rPr>
          <w:rFonts w:ascii="仿宋_GB2312" w:eastAsia="仿宋_GB2312" w:hAnsi="仿宋" w:hint="eastAsia"/>
          <w:b/>
          <w:sz w:val="30"/>
          <w:szCs w:val="30"/>
        </w:rPr>
        <w:t xml:space="preserve">第三条 </w:t>
      </w:r>
      <w:r>
        <w:rPr>
          <w:rFonts w:ascii="仿宋_GB2312" w:eastAsia="仿宋_GB2312" w:hAnsi="仿宋" w:hint="eastAsia"/>
          <w:sz w:val="30"/>
          <w:szCs w:val="30"/>
        </w:rPr>
        <w:t>本办法适用于京津唐电网燃煤发电机组。未经灵活性改造但需进行灵活性能力验收的燃煤发电机组参照执行。</w:t>
      </w:r>
    </w:p>
    <w:p w:rsidR="00AC704C" w:rsidRDefault="00AC704C" w:rsidP="00AC704C">
      <w:pPr>
        <w:snapToGrid w:val="0"/>
        <w:spacing w:line="560" w:lineRule="exact"/>
        <w:ind w:firstLineChars="200" w:firstLine="602"/>
        <w:rPr>
          <w:rFonts w:ascii="仿宋_GB2312" w:eastAsia="仿宋_GB2312" w:hAnsi="仿宋" w:hint="eastAsia"/>
          <w:b/>
          <w:sz w:val="30"/>
          <w:szCs w:val="30"/>
        </w:rPr>
      </w:pPr>
    </w:p>
    <w:p w:rsidR="00AC704C" w:rsidRDefault="00AC704C" w:rsidP="00AC704C">
      <w:pPr>
        <w:snapToGrid w:val="0"/>
        <w:spacing w:line="560" w:lineRule="exact"/>
        <w:jc w:val="center"/>
        <w:rPr>
          <w:rFonts w:ascii="黑体" w:eastAsia="黑体" w:hAnsi="黑体" w:hint="eastAsia"/>
          <w:sz w:val="30"/>
          <w:szCs w:val="30"/>
        </w:rPr>
      </w:pPr>
      <w:r>
        <w:rPr>
          <w:rFonts w:ascii="黑体" w:eastAsia="黑体" w:hAnsi="黑体" w:hint="eastAsia"/>
          <w:sz w:val="30"/>
          <w:szCs w:val="30"/>
        </w:rPr>
        <w:t>第二章 组织与职责</w:t>
      </w:r>
    </w:p>
    <w:p w:rsidR="00AC704C" w:rsidRDefault="00AC704C" w:rsidP="00AC704C">
      <w:pPr>
        <w:snapToGrid w:val="0"/>
        <w:spacing w:line="560" w:lineRule="exact"/>
        <w:ind w:firstLineChars="200" w:firstLine="602"/>
        <w:rPr>
          <w:rFonts w:ascii="仿宋_GB2312" w:eastAsia="仿宋_GB2312" w:hAnsi="仿宋" w:hint="eastAsia"/>
          <w:sz w:val="30"/>
          <w:szCs w:val="30"/>
        </w:rPr>
      </w:pPr>
      <w:r>
        <w:rPr>
          <w:rFonts w:ascii="仿宋_GB2312" w:eastAsia="仿宋_GB2312" w:hAnsi="仿宋" w:hint="eastAsia"/>
          <w:b/>
          <w:sz w:val="30"/>
          <w:szCs w:val="30"/>
        </w:rPr>
        <w:t xml:space="preserve">第四条 </w:t>
      </w:r>
      <w:r>
        <w:rPr>
          <w:rFonts w:ascii="仿宋_GB2312" w:eastAsia="仿宋_GB2312" w:hAnsi="仿宋" w:hint="eastAsia"/>
          <w:sz w:val="30"/>
          <w:szCs w:val="30"/>
        </w:rPr>
        <w:t>发电企业是燃煤发电机组灵活性改造的责任主体，负责相关验收的组织与协调以及灵活性运行的安全管理，确保发</w:t>
      </w:r>
      <w:r>
        <w:rPr>
          <w:rFonts w:ascii="仿宋_GB2312" w:eastAsia="仿宋_GB2312" w:hAnsi="仿宋" w:hint="eastAsia"/>
          <w:sz w:val="30"/>
          <w:szCs w:val="30"/>
        </w:rPr>
        <w:lastRenderedPageBreak/>
        <w:t>电机组深度调峰安全性、经济性和运行可靠性。</w:t>
      </w:r>
    </w:p>
    <w:p w:rsidR="00AC704C" w:rsidRDefault="00AC704C" w:rsidP="00AC704C">
      <w:pPr>
        <w:snapToGrid w:val="0"/>
        <w:spacing w:line="560" w:lineRule="exact"/>
        <w:ind w:firstLineChars="200" w:firstLine="602"/>
        <w:rPr>
          <w:rFonts w:ascii="仿宋_GB2312" w:eastAsia="仿宋_GB2312" w:hAnsi="仿宋" w:hint="eastAsia"/>
          <w:sz w:val="30"/>
          <w:szCs w:val="30"/>
        </w:rPr>
      </w:pPr>
      <w:r>
        <w:rPr>
          <w:rFonts w:ascii="仿宋_GB2312" w:eastAsia="仿宋_GB2312" w:hAnsi="仿宋" w:hint="eastAsia"/>
          <w:b/>
          <w:sz w:val="30"/>
          <w:szCs w:val="30"/>
        </w:rPr>
        <w:t xml:space="preserve">第五条 </w:t>
      </w:r>
      <w:r>
        <w:rPr>
          <w:rFonts w:ascii="仿宋_GB2312" w:eastAsia="仿宋_GB2312" w:hAnsi="仿宋" w:hint="eastAsia"/>
          <w:sz w:val="30"/>
          <w:szCs w:val="30"/>
        </w:rPr>
        <w:t>国网华北分部，国网北京市、天津市电力公司，国网冀北电力有限公司负责火电灵活性改造验收计划安排，负责应用验收结果。</w:t>
      </w:r>
    </w:p>
    <w:p w:rsidR="00AC704C" w:rsidRDefault="00AC704C" w:rsidP="00AC704C">
      <w:pPr>
        <w:snapToGrid w:val="0"/>
        <w:spacing w:line="560" w:lineRule="exact"/>
        <w:ind w:firstLineChars="200" w:firstLine="602"/>
        <w:rPr>
          <w:rFonts w:ascii="仿宋" w:eastAsia="仿宋" w:hAnsi="仿宋" w:hint="eastAsia"/>
          <w:sz w:val="30"/>
          <w:szCs w:val="30"/>
        </w:rPr>
      </w:pPr>
      <w:r>
        <w:rPr>
          <w:rFonts w:ascii="仿宋_GB2312" w:eastAsia="仿宋_GB2312" w:hAnsi="仿宋" w:hint="eastAsia"/>
          <w:b/>
          <w:sz w:val="30"/>
          <w:szCs w:val="30"/>
        </w:rPr>
        <w:t xml:space="preserve">第六条 </w:t>
      </w:r>
      <w:r>
        <w:rPr>
          <w:rFonts w:ascii="仿宋_GB2312" w:eastAsia="仿宋_GB2312" w:hAnsi="仿宋" w:hint="eastAsia"/>
          <w:sz w:val="30"/>
          <w:szCs w:val="30"/>
        </w:rPr>
        <w:t>华北能源监管局会同地方政府能源（电力）主管部门负责对验收工作的监督、指导。</w:t>
      </w:r>
    </w:p>
    <w:p w:rsidR="00AC704C" w:rsidRDefault="00AC704C" w:rsidP="00AC704C">
      <w:pPr>
        <w:snapToGrid w:val="0"/>
        <w:spacing w:line="560" w:lineRule="exact"/>
        <w:jc w:val="center"/>
        <w:rPr>
          <w:rFonts w:ascii="黑体" w:eastAsia="黑体" w:hAnsi="黑体" w:hint="eastAsia"/>
          <w:sz w:val="30"/>
          <w:szCs w:val="30"/>
        </w:rPr>
      </w:pPr>
    </w:p>
    <w:p w:rsidR="00AC704C" w:rsidRDefault="00AC704C" w:rsidP="00AC704C">
      <w:pPr>
        <w:snapToGrid w:val="0"/>
        <w:spacing w:line="560" w:lineRule="exact"/>
        <w:jc w:val="center"/>
        <w:rPr>
          <w:rFonts w:ascii="黑体" w:eastAsia="黑体" w:hAnsi="黑体" w:hint="eastAsia"/>
          <w:sz w:val="30"/>
          <w:szCs w:val="30"/>
        </w:rPr>
      </w:pPr>
      <w:r>
        <w:rPr>
          <w:rFonts w:ascii="黑体" w:eastAsia="黑体" w:hAnsi="黑体" w:hint="eastAsia"/>
          <w:sz w:val="30"/>
          <w:szCs w:val="30"/>
        </w:rPr>
        <w:t>第三章 技术要求</w:t>
      </w:r>
    </w:p>
    <w:p w:rsidR="00AC704C" w:rsidRDefault="00AC704C" w:rsidP="00AC704C">
      <w:pPr>
        <w:snapToGrid w:val="0"/>
        <w:spacing w:line="560" w:lineRule="exact"/>
        <w:ind w:firstLineChars="200" w:firstLine="602"/>
        <w:rPr>
          <w:rFonts w:ascii="仿宋_GB2312" w:eastAsia="仿宋_GB2312" w:hAnsi="仿宋" w:hint="eastAsia"/>
          <w:sz w:val="30"/>
          <w:szCs w:val="30"/>
        </w:rPr>
      </w:pPr>
      <w:r>
        <w:rPr>
          <w:rFonts w:ascii="仿宋_GB2312" w:eastAsia="仿宋_GB2312" w:hAnsi="仿宋" w:hint="eastAsia"/>
          <w:b/>
          <w:sz w:val="30"/>
          <w:szCs w:val="30"/>
        </w:rPr>
        <w:t xml:space="preserve">第七条 </w:t>
      </w:r>
      <w:r>
        <w:rPr>
          <w:rFonts w:ascii="仿宋_GB2312" w:eastAsia="仿宋_GB2312" w:hAnsi="仿宋" w:hint="eastAsia"/>
          <w:sz w:val="30"/>
          <w:szCs w:val="30"/>
        </w:rPr>
        <w:t>机组灵活性运行除满足《</w:t>
      </w:r>
      <w:r>
        <w:rPr>
          <w:rFonts w:ascii="仿宋_GB2312" w:eastAsia="仿宋_GB2312" w:hAnsi="仿宋" w:hint="eastAsia"/>
          <w:bCs/>
          <w:sz w:val="30"/>
          <w:szCs w:val="30"/>
        </w:rPr>
        <w:t>GB/T 31464 电网运行准则</w:t>
      </w:r>
      <w:r>
        <w:rPr>
          <w:rFonts w:ascii="仿宋_GB2312" w:eastAsia="仿宋_GB2312" w:hAnsi="仿宋" w:hint="eastAsia"/>
          <w:sz w:val="30"/>
          <w:szCs w:val="30"/>
        </w:rPr>
        <w:t>》各项要求外，还应满足如下技术要求：</w:t>
      </w:r>
    </w:p>
    <w:p w:rsidR="00AC704C" w:rsidRDefault="00AC704C" w:rsidP="00AC704C">
      <w:pPr>
        <w:snapToGrid w:val="0"/>
        <w:spacing w:line="560" w:lineRule="exact"/>
        <w:ind w:firstLineChars="200" w:firstLine="600"/>
        <w:rPr>
          <w:rFonts w:ascii="仿宋_GB2312" w:eastAsia="仿宋_GB2312" w:hAnsi="仿宋" w:hint="eastAsia"/>
          <w:sz w:val="30"/>
          <w:szCs w:val="30"/>
        </w:rPr>
      </w:pPr>
      <w:r>
        <w:rPr>
          <w:rFonts w:ascii="楷体_GB2312" w:eastAsia="楷体_GB2312" w:hAnsi="仿宋" w:hint="eastAsia"/>
          <w:sz w:val="30"/>
          <w:szCs w:val="30"/>
        </w:rPr>
        <w:t>（一）调峰能力要求</w:t>
      </w:r>
      <w:r>
        <w:rPr>
          <w:rFonts w:ascii="仿宋_GB2312" w:eastAsia="仿宋_GB2312" w:hAnsi="仿宋" w:hint="eastAsia"/>
          <w:sz w:val="30"/>
          <w:szCs w:val="30"/>
        </w:rPr>
        <w:t>。改造后机组纯凝运行出力下限不高于35%额定容量，出力上限保持100%额定容量；热电机组在供热期运行时出力下限不高于40%额定容量，出力上限不低于85%额定容量。</w:t>
      </w:r>
    </w:p>
    <w:p w:rsidR="00AC704C" w:rsidRDefault="00AC704C" w:rsidP="00AC704C">
      <w:pPr>
        <w:snapToGrid w:val="0"/>
        <w:spacing w:line="560" w:lineRule="exact"/>
        <w:ind w:firstLineChars="200" w:firstLine="600"/>
        <w:rPr>
          <w:rFonts w:ascii="仿宋_GB2312" w:eastAsia="仿宋_GB2312" w:hAnsi="仿宋" w:hint="eastAsia"/>
          <w:sz w:val="30"/>
          <w:szCs w:val="30"/>
        </w:rPr>
      </w:pPr>
      <w:r>
        <w:rPr>
          <w:rFonts w:ascii="楷体_GB2312" w:eastAsia="楷体_GB2312" w:hAnsi="仿宋" w:hint="eastAsia"/>
          <w:sz w:val="30"/>
          <w:szCs w:val="30"/>
        </w:rPr>
        <w:t>（二）安全稳定性要求</w:t>
      </w:r>
      <w:r>
        <w:rPr>
          <w:rFonts w:ascii="仿宋_GB2312" w:eastAsia="仿宋_GB2312" w:hAnsi="仿宋" w:hint="eastAsia"/>
          <w:sz w:val="30"/>
          <w:szCs w:val="30"/>
        </w:rPr>
        <w:t>。改造后机组应具有在出力上下限范围内长期稳定运行的能力。锅炉燃烧稳定，机组主、辅助设备运行正常，运行参数都在安全范围内。机组自控系统正常投入。机组保护系统正常工作。</w:t>
      </w:r>
    </w:p>
    <w:p w:rsidR="00AC704C" w:rsidRDefault="00AC704C" w:rsidP="00AC704C">
      <w:pPr>
        <w:snapToGrid w:val="0"/>
        <w:spacing w:line="560" w:lineRule="exact"/>
        <w:ind w:firstLineChars="200" w:firstLine="600"/>
        <w:rPr>
          <w:rFonts w:ascii="仿宋_GB2312" w:eastAsia="仿宋_GB2312" w:hAnsi="仿宋" w:hint="eastAsia"/>
          <w:sz w:val="30"/>
          <w:szCs w:val="30"/>
        </w:rPr>
      </w:pPr>
      <w:r>
        <w:rPr>
          <w:rFonts w:ascii="楷体_GB2312" w:eastAsia="楷体_GB2312" w:hAnsi="仿宋" w:hint="eastAsia"/>
          <w:sz w:val="30"/>
          <w:szCs w:val="30"/>
        </w:rPr>
        <w:t>（三）AGC（自动发电控制）投运要求</w:t>
      </w:r>
      <w:r>
        <w:rPr>
          <w:rFonts w:ascii="仿宋_GB2312" w:eastAsia="仿宋_GB2312" w:hAnsi="仿宋" w:hint="eastAsia"/>
          <w:sz w:val="30"/>
          <w:szCs w:val="30"/>
        </w:rPr>
        <w:t>。改造后机组应保证在最低出力至额定出力（</w:t>
      </w:r>
      <w:proofErr w:type="spellStart"/>
      <w:r>
        <w:rPr>
          <w:rFonts w:ascii="仿宋_GB2312" w:eastAsia="仿宋_GB2312" w:hAnsi="仿宋" w:hint="eastAsia"/>
          <w:sz w:val="30"/>
          <w:szCs w:val="30"/>
        </w:rPr>
        <w:t>Pe</w:t>
      </w:r>
      <w:proofErr w:type="spellEnd"/>
      <w:r>
        <w:rPr>
          <w:rFonts w:ascii="仿宋_GB2312" w:eastAsia="仿宋_GB2312" w:hAnsi="仿宋" w:hint="eastAsia"/>
          <w:sz w:val="30"/>
          <w:szCs w:val="30"/>
        </w:rPr>
        <w:t>）范围内，AGC功能全程正常投入，即机组应在AGC控制方式下参与调峰，满足机组调峰运行期间AGC性能要求，具体包括：</w:t>
      </w:r>
    </w:p>
    <w:p w:rsidR="00AC704C" w:rsidRDefault="00AC704C" w:rsidP="00AC704C">
      <w:pPr>
        <w:spacing w:line="560" w:lineRule="exact"/>
        <w:ind w:firstLine="560"/>
        <w:rPr>
          <w:rFonts w:ascii="仿宋_GB2312" w:eastAsia="仿宋_GB2312" w:hint="eastAsia"/>
          <w:color w:val="000000"/>
          <w:sz w:val="30"/>
          <w:szCs w:val="30"/>
        </w:rPr>
      </w:pPr>
      <w:r w:rsidRPr="004A160A">
        <w:rPr>
          <w:rFonts w:ascii="仿宋_GB2312" w:eastAsia="仿宋_GB2312" w:hint="eastAsia"/>
          <w:color w:val="000000"/>
          <w:sz w:val="30"/>
          <w:szCs w:val="30"/>
        </w:rPr>
        <w:t>1.调节速率。考虑深度调峰机组负荷调节范围的差异，不同类型机组的AGC调节速率不低于下表要求。</w:t>
      </w:r>
    </w:p>
    <w:p w:rsidR="00AC704C" w:rsidRDefault="00AC704C" w:rsidP="00AC704C">
      <w:pPr>
        <w:spacing w:line="560" w:lineRule="exact"/>
        <w:ind w:firstLine="560"/>
        <w:rPr>
          <w:rFonts w:ascii="仿宋_GB2312" w:eastAsia="仿宋_GB2312" w:hint="eastAsia"/>
          <w:color w:val="000000"/>
          <w:sz w:val="30"/>
          <w:szCs w:val="30"/>
        </w:rPr>
      </w:pPr>
    </w:p>
    <w:p w:rsidR="00AC704C" w:rsidRPr="00FA1018" w:rsidRDefault="00AC704C" w:rsidP="00AC704C">
      <w:pPr>
        <w:pStyle w:val="a3"/>
        <w:adjustRightInd w:val="0"/>
        <w:snapToGrid w:val="0"/>
        <w:spacing w:before="0" w:after="0"/>
        <w:jc w:val="center"/>
        <w:rPr>
          <w:rFonts w:ascii="黑体" w:hAnsi="黑体" w:cs="Times New Roman"/>
          <w:sz w:val="28"/>
          <w:szCs w:val="28"/>
        </w:rPr>
      </w:pPr>
      <w:r w:rsidRPr="00FA1018">
        <w:rPr>
          <w:rFonts w:ascii="黑体" w:hAnsi="黑体" w:cs="Times New Roman" w:hint="eastAsia"/>
          <w:sz w:val="28"/>
          <w:szCs w:val="28"/>
        </w:rPr>
        <w:t>深度调峰工况下机组AGC调节速率要求</w:t>
      </w:r>
    </w:p>
    <w:tbl>
      <w:tblPr>
        <w:tblW w:w="8879" w:type="dxa"/>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62"/>
        <w:gridCol w:w="1313"/>
        <w:gridCol w:w="1749"/>
        <w:gridCol w:w="1855"/>
      </w:tblGrid>
      <w:tr w:rsidR="00AC704C" w:rsidTr="00D760F8">
        <w:trPr>
          <w:trHeight w:val="285"/>
          <w:jc w:val="center"/>
        </w:trPr>
        <w:tc>
          <w:tcPr>
            <w:tcW w:w="3962" w:type="dxa"/>
            <w:vMerge w:val="restart"/>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adjustRightInd w:val="0"/>
              <w:snapToGrid w:val="0"/>
              <w:jc w:val="center"/>
              <w:rPr>
                <w:rFonts w:eastAsia="华文仿宋"/>
                <w:sz w:val="24"/>
              </w:rPr>
            </w:pPr>
            <w:r>
              <w:rPr>
                <w:rFonts w:eastAsia="华文仿宋" w:hint="eastAsia"/>
                <w:kern w:val="0"/>
                <w:sz w:val="24"/>
              </w:rPr>
              <w:t>机组类型</w:t>
            </w:r>
          </w:p>
        </w:tc>
        <w:tc>
          <w:tcPr>
            <w:tcW w:w="4917" w:type="dxa"/>
            <w:gridSpan w:val="3"/>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widowControl/>
              <w:adjustRightInd w:val="0"/>
              <w:snapToGrid w:val="0"/>
              <w:jc w:val="center"/>
              <w:rPr>
                <w:rFonts w:eastAsia="华文仿宋"/>
                <w:kern w:val="0"/>
                <w:sz w:val="24"/>
              </w:rPr>
            </w:pPr>
            <w:r>
              <w:rPr>
                <w:rFonts w:eastAsia="华文仿宋" w:hint="eastAsia"/>
                <w:kern w:val="0"/>
                <w:sz w:val="24"/>
              </w:rPr>
              <w:t>深度调峰</w:t>
            </w:r>
            <w:r>
              <w:rPr>
                <w:rFonts w:eastAsia="华文仿宋"/>
                <w:kern w:val="0"/>
                <w:sz w:val="24"/>
              </w:rPr>
              <w:t>AGC</w:t>
            </w:r>
            <w:r>
              <w:rPr>
                <w:rFonts w:eastAsia="华文仿宋" w:hint="eastAsia"/>
                <w:kern w:val="0"/>
                <w:sz w:val="24"/>
              </w:rPr>
              <w:t>调节速率（</w:t>
            </w:r>
            <w:r>
              <w:rPr>
                <w:rFonts w:eastAsia="华文仿宋"/>
                <w:kern w:val="0"/>
                <w:sz w:val="24"/>
              </w:rPr>
              <w:t>%</w:t>
            </w:r>
            <w:proofErr w:type="spellStart"/>
            <w:r>
              <w:rPr>
                <w:rFonts w:eastAsia="华文仿宋"/>
                <w:kern w:val="0"/>
                <w:sz w:val="24"/>
              </w:rPr>
              <w:t>Pe</w:t>
            </w:r>
            <w:proofErr w:type="spellEnd"/>
            <w:r>
              <w:rPr>
                <w:rFonts w:eastAsia="华文仿宋"/>
                <w:kern w:val="0"/>
                <w:sz w:val="24"/>
              </w:rPr>
              <w:t>/min</w:t>
            </w:r>
            <w:r>
              <w:rPr>
                <w:rFonts w:eastAsia="华文仿宋" w:hint="eastAsia"/>
                <w:kern w:val="0"/>
                <w:sz w:val="24"/>
              </w:rPr>
              <w:t>）</w:t>
            </w:r>
          </w:p>
        </w:tc>
      </w:tr>
      <w:tr w:rsidR="00AC704C" w:rsidTr="00D760F8">
        <w:trPr>
          <w:trHeight w:val="285"/>
          <w:jc w:val="center"/>
        </w:trPr>
        <w:tc>
          <w:tcPr>
            <w:tcW w:w="3962" w:type="dxa"/>
            <w:vMerge/>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widowControl/>
              <w:jc w:val="left"/>
              <w:rPr>
                <w:rFonts w:eastAsia="华文仿宋"/>
                <w:sz w:val="24"/>
              </w:rPr>
            </w:pPr>
          </w:p>
        </w:tc>
        <w:tc>
          <w:tcPr>
            <w:tcW w:w="1313" w:type="dxa"/>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widowControl/>
              <w:adjustRightInd w:val="0"/>
              <w:snapToGrid w:val="0"/>
              <w:jc w:val="center"/>
              <w:rPr>
                <w:rFonts w:eastAsia="华文仿宋"/>
                <w:kern w:val="0"/>
                <w:sz w:val="24"/>
              </w:rPr>
            </w:pPr>
            <w:r>
              <w:rPr>
                <w:rFonts w:eastAsia="华文仿宋"/>
                <w:kern w:val="0"/>
                <w:sz w:val="24"/>
              </w:rPr>
              <w:t>50%Pe</w:t>
            </w:r>
            <w:r>
              <w:rPr>
                <w:rFonts w:eastAsia="华文仿宋" w:hint="eastAsia"/>
                <w:kern w:val="0"/>
                <w:sz w:val="24"/>
              </w:rPr>
              <w:t>＞</w:t>
            </w:r>
            <w:r>
              <w:rPr>
                <w:rFonts w:eastAsia="华文仿宋"/>
                <w:kern w:val="0"/>
                <w:sz w:val="24"/>
              </w:rPr>
              <w:t>P≥40%Pe</w:t>
            </w:r>
          </w:p>
        </w:tc>
        <w:tc>
          <w:tcPr>
            <w:tcW w:w="1749" w:type="dxa"/>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widowControl/>
              <w:adjustRightInd w:val="0"/>
              <w:snapToGrid w:val="0"/>
              <w:jc w:val="center"/>
              <w:rPr>
                <w:rFonts w:eastAsia="华文仿宋"/>
                <w:kern w:val="0"/>
                <w:sz w:val="24"/>
              </w:rPr>
            </w:pPr>
            <w:r>
              <w:rPr>
                <w:rFonts w:eastAsia="华文仿宋"/>
                <w:kern w:val="0"/>
                <w:sz w:val="24"/>
              </w:rPr>
              <w:t>40%Pe</w:t>
            </w:r>
            <w:r>
              <w:rPr>
                <w:rFonts w:eastAsia="华文仿宋" w:hint="eastAsia"/>
                <w:kern w:val="0"/>
                <w:sz w:val="24"/>
              </w:rPr>
              <w:t>＞</w:t>
            </w:r>
            <w:r>
              <w:rPr>
                <w:rFonts w:eastAsia="华文仿宋"/>
                <w:kern w:val="0"/>
                <w:sz w:val="24"/>
              </w:rPr>
              <w:t>P≥30%Pe</w:t>
            </w:r>
          </w:p>
        </w:tc>
        <w:tc>
          <w:tcPr>
            <w:tcW w:w="1855" w:type="dxa"/>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widowControl/>
              <w:adjustRightInd w:val="0"/>
              <w:snapToGrid w:val="0"/>
              <w:jc w:val="center"/>
              <w:rPr>
                <w:rFonts w:eastAsia="华文仿宋"/>
                <w:kern w:val="0"/>
                <w:sz w:val="24"/>
              </w:rPr>
            </w:pPr>
            <w:r>
              <w:rPr>
                <w:rFonts w:eastAsia="华文仿宋"/>
                <w:kern w:val="0"/>
                <w:sz w:val="24"/>
              </w:rPr>
              <w:t>30%Pe</w:t>
            </w:r>
            <w:r>
              <w:rPr>
                <w:rFonts w:eastAsia="华文仿宋" w:hint="eastAsia"/>
                <w:kern w:val="0"/>
                <w:sz w:val="24"/>
              </w:rPr>
              <w:t>＞</w:t>
            </w:r>
            <w:r>
              <w:rPr>
                <w:rFonts w:eastAsia="华文仿宋"/>
                <w:kern w:val="0"/>
                <w:sz w:val="24"/>
              </w:rPr>
              <w:t>P</w:t>
            </w:r>
          </w:p>
        </w:tc>
      </w:tr>
      <w:tr w:rsidR="00AC704C" w:rsidTr="00D760F8">
        <w:trPr>
          <w:trHeight w:val="285"/>
          <w:jc w:val="center"/>
        </w:trPr>
        <w:tc>
          <w:tcPr>
            <w:tcW w:w="3962" w:type="dxa"/>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widowControl/>
              <w:adjustRightInd w:val="0"/>
              <w:snapToGrid w:val="0"/>
              <w:jc w:val="center"/>
              <w:rPr>
                <w:rFonts w:eastAsia="华文仿宋"/>
                <w:kern w:val="0"/>
                <w:sz w:val="24"/>
              </w:rPr>
            </w:pPr>
            <w:r>
              <w:rPr>
                <w:rFonts w:eastAsia="华文仿宋" w:hint="eastAsia"/>
                <w:kern w:val="0"/>
                <w:sz w:val="24"/>
              </w:rPr>
              <w:t>直吹式制粉系统汽包炉机组</w:t>
            </w:r>
          </w:p>
        </w:tc>
        <w:tc>
          <w:tcPr>
            <w:tcW w:w="1313" w:type="dxa"/>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widowControl/>
              <w:adjustRightInd w:val="0"/>
              <w:snapToGrid w:val="0"/>
              <w:jc w:val="center"/>
              <w:rPr>
                <w:rFonts w:eastAsia="华文仿宋"/>
                <w:kern w:val="0"/>
                <w:sz w:val="24"/>
              </w:rPr>
            </w:pPr>
            <w:r>
              <w:rPr>
                <w:rFonts w:eastAsia="华文仿宋"/>
                <w:kern w:val="0"/>
                <w:sz w:val="24"/>
              </w:rPr>
              <w:t>1.2</w:t>
            </w:r>
          </w:p>
        </w:tc>
        <w:tc>
          <w:tcPr>
            <w:tcW w:w="1749" w:type="dxa"/>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widowControl/>
              <w:adjustRightInd w:val="0"/>
              <w:snapToGrid w:val="0"/>
              <w:jc w:val="center"/>
              <w:rPr>
                <w:rFonts w:eastAsia="华文仿宋"/>
                <w:kern w:val="0"/>
                <w:sz w:val="24"/>
              </w:rPr>
            </w:pPr>
            <w:r>
              <w:rPr>
                <w:rFonts w:eastAsia="华文仿宋"/>
                <w:kern w:val="0"/>
                <w:sz w:val="24"/>
              </w:rPr>
              <w:t>0.9</w:t>
            </w:r>
          </w:p>
        </w:tc>
        <w:tc>
          <w:tcPr>
            <w:tcW w:w="1855" w:type="dxa"/>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widowControl/>
              <w:adjustRightInd w:val="0"/>
              <w:snapToGrid w:val="0"/>
              <w:jc w:val="center"/>
              <w:rPr>
                <w:rFonts w:eastAsia="华文仿宋"/>
                <w:kern w:val="0"/>
                <w:sz w:val="24"/>
              </w:rPr>
            </w:pPr>
            <w:r>
              <w:rPr>
                <w:rFonts w:eastAsia="华文仿宋"/>
                <w:kern w:val="0"/>
                <w:sz w:val="24"/>
              </w:rPr>
              <w:t>0.5</w:t>
            </w:r>
          </w:p>
        </w:tc>
      </w:tr>
      <w:tr w:rsidR="00AC704C" w:rsidTr="00D760F8">
        <w:trPr>
          <w:trHeight w:val="285"/>
          <w:jc w:val="center"/>
        </w:trPr>
        <w:tc>
          <w:tcPr>
            <w:tcW w:w="3962" w:type="dxa"/>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widowControl/>
              <w:adjustRightInd w:val="0"/>
              <w:snapToGrid w:val="0"/>
              <w:jc w:val="center"/>
              <w:rPr>
                <w:rFonts w:eastAsia="华文仿宋"/>
                <w:kern w:val="0"/>
                <w:sz w:val="24"/>
              </w:rPr>
            </w:pPr>
            <w:r>
              <w:rPr>
                <w:rFonts w:eastAsia="华文仿宋" w:hint="eastAsia"/>
                <w:kern w:val="0"/>
                <w:sz w:val="24"/>
              </w:rPr>
              <w:t>中间储仓式制粉系统机组</w:t>
            </w:r>
          </w:p>
        </w:tc>
        <w:tc>
          <w:tcPr>
            <w:tcW w:w="1313" w:type="dxa"/>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widowControl/>
              <w:adjustRightInd w:val="0"/>
              <w:snapToGrid w:val="0"/>
              <w:jc w:val="center"/>
              <w:rPr>
                <w:rFonts w:eastAsia="华文仿宋"/>
                <w:kern w:val="0"/>
                <w:sz w:val="24"/>
              </w:rPr>
            </w:pPr>
            <w:r>
              <w:rPr>
                <w:rFonts w:eastAsia="华文仿宋"/>
                <w:kern w:val="0"/>
                <w:sz w:val="24"/>
              </w:rPr>
              <w:t>1.6</w:t>
            </w:r>
          </w:p>
        </w:tc>
        <w:tc>
          <w:tcPr>
            <w:tcW w:w="1749" w:type="dxa"/>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widowControl/>
              <w:adjustRightInd w:val="0"/>
              <w:snapToGrid w:val="0"/>
              <w:jc w:val="center"/>
              <w:rPr>
                <w:rFonts w:eastAsia="华文仿宋"/>
                <w:kern w:val="0"/>
                <w:sz w:val="24"/>
              </w:rPr>
            </w:pPr>
            <w:r>
              <w:rPr>
                <w:rFonts w:eastAsia="华文仿宋"/>
                <w:kern w:val="0"/>
                <w:sz w:val="24"/>
              </w:rPr>
              <w:t>1.2</w:t>
            </w:r>
          </w:p>
        </w:tc>
        <w:tc>
          <w:tcPr>
            <w:tcW w:w="1855" w:type="dxa"/>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widowControl/>
              <w:adjustRightInd w:val="0"/>
              <w:snapToGrid w:val="0"/>
              <w:jc w:val="center"/>
              <w:rPr>
                <w:rFonts w:eastAsia="华文仿宋"/>
                <w:kern w:val="0"/>
                <w:sz w:val="24"/>
              </w:rPr>
            </w:pPr>
            <w:r>
              <w:rPr>
                <w:rFonts w:eastAsia="华文仿宋"/>
                <w:kern w:val="0"/>
                <w:sz w:val="24"/>
              </w:rPr>
              <w:t>0.8</w:t>
            </w:r>
          </w:p>
        </w:tc>
      </w:tr>
      <w:tr w:rsidR="00AC704C" w:rsidTr="00D760F8">
        <w:trPr>
          <w:trHeight w:val="617"/>
          <w:jc w:val="center"/>
        </w:trPr>
        <w:tc>
          <w:tcPr>
            <w:tcW w:w="3962" w:type="dxa"/>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widowControl/>
              <w:adjustRightInd w:val="0"/>
              <w:snapToGrid w:val="0"/>
              <w:jc w:val="center"/>
              <w:rPr>
                <w:rFonts w:eastAsia="华文仿宋"/>
                <w:kern w:val="0"/>
                <w:sz w:val="24"/>
              </w:rPr>
            </w:pPr>
            <w:r>
              <w:rPr>
                <w:rFonts w:eastAsia="华文仿宋" w:hint="eastAsia"/>
                <w:kern w:val="0"/>
                <w:sz w:val="24"/>
              </w:rPr>
              <w:t>循环流化床机组和燃用特殊煤种（如劣质煤，高水分低热值褐煤等）机组</w:t>
            </w:r>
          </w:p>
        </w:tc>
        <w:tc>
          <w:tcPr>
            <w:tcW w:w="1313" w:type="dxa"/>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widowControl/>
              <w:adjustRightInd w:val="0"/>
              <w:snapToGrid w:val="0"/>
              <w:jc w:val="center"/>
              <w:rPr>
                <w:rFonts w:eastAsia="华文仿宋"/>
                <w:kern w:val="0"/>
                <w:sz w:val="24"/>
              </w:rPr>
            </w:pPr>
            <w:r>
              <w:rPr>
                <w:rFonts w:eastAsia="华文仿宋"/>
                <w:kern w:val="0"/>
                <w:sz w:val="24"/>
              </w:rPr>
              <w:t>0.8</w:t>
            </w:r>
          </w:p>
        </w:tc>
        <w:tc>
          <w:tcPr>
            <w:tcW w:w="1749" w:type="dxa"/>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widowControl/>
              <w:adjustRightInd w:val="0"/>
              <w:snapToGrid w:val="0"/>
              <w:jc w:val="center"/>
              <w:rPr>
                <w:rFonts w:eastAsia="华文仿宋"/>
                <w:kern w:val="0"/>
                <w:sz w:val="24"/>
              </w:rPr>
            </w:pPr>
            <w:r>
              <w:rPr>
                <w:rFonts w:eastAsia="华文仿宋"/>
                <w:kern w:val="0"/>
                <w:sz w:val="24"/>
              </w:rPr>
              <w:t>0.6</w:t>
            </w:r>
          </w:p>
        </w:tc>
        <w:tc>
          <w:tcPr>
            <w:tcW w:w="1855" w:type="dxa"/>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widowControl/>
              <w:adjustRightInd w:val="0"/>
              <w:snapToGrid w:val="0"/>
              <w:jc w:val="center"/>
              <w:rPr>
                <w:rFonts w:eastAsia="华文仿宋"/>
                <w:kern w:val="0"/>
                <w:sz w:val="24"/>
              </w:rPr>
            </w:pPr>
            <w:r>
              <w:rPr>
                <w:rFonts w:eastAsia="华文仿宋"/>
                <w:kern w:val="0"/>
                <w:sz w:val="24"/>
              </w:rPr>
              <w:t>0.4</w:t>
            </w:r>
          </w:p>
        </w:tc>
      </w:tr>
      <w:tr w:rsidR="00AC704C" w:rsidTr="00D760F8">
        <w:trPr>
          <w:trHeight w:val="285"/>
          <w:jc w:val="center"/>
        </w:trPr>
        <w:tc>
          <w:tcPr>
            <w:tcW w:w="3962" w:type="dxa"/>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widowControl/>
              <w:adjustRightInd w:val="0"/>
              <w:snapToGrid w:val="0"/>
              <w:jc w:val="center"/>
              <w:rPr>
                <w:rFonts w:eastAsia="华文仿宋"/>
                <w:kern w:val="0"/>
                <w:sz w:val="24"/>
              </w:rPr>
            </w:pPr>
            <w:r>
              <w:rPr>
                <w:rFonts w:eastAsia="华文仿宋" w:hint="eastAsia"/>
                <w:kern w:val="0"/>
                <w:sz w:val="24"/>
              </w:rPr>
              <w:t>超临界定压运行直流炉机组</w:t>
            </w:r>
          </w:p>
        </w:tc>
        <w:tc>
          <w:tcPr>
            <w:tcW w:w="1313" w:type="dxa"/>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widowControl/>
              <w:adjustRightInd w:val="0"/>
              <w:snapToGrid w:val="0"/>
              <w:jc w:val="center"/>
              <w:rPr>
                <w:rFonts w:eastAsia="华文仿宋"/>
                <w:kern w:val="0"/>
                <w:sz w:val="24"/>
              </w:rPr>
            </w:pPr>
            <w:r>
              <w:rPr>
                <w:rFonts w:eastAsia="华文仿宋"/>
                <w:kern w:val="0"/>
                <w:sz w:val="24"/>
              </w:rPr>
              <w:t>0.8</w:t>
            </w:r>
          </w:p>
        </w:tc>
        <w:tc>
          <w:tcPr>
            <w:tcW w:w="1749" w:type="dxa"/>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widowControl/>
              <w:adjustRightInd w:val="0"/>
              <w:snapToGrid w:val="0"/>
              <w:jc w:val="center"/>
              <w:rPr>
                <w:rFonts w:eastAsia="华文仿宋"/>
                <w:kern w:val="0"/>
                <w:sz w:val="24"/>
              </w:rPr>
            </w:pPr>
            <w:r>
              <w:rPr>
                <w:rFonts w:eastAsia="华文仿宋"/>
                <w:kern w:val="0"/>
                <w:sz w:val="24"/>
              </w:rPr>
              <w:t>0.6</w:t>
            </w:r>
          </w:p>
        </w:tc>
        <w:tc>
          <w:tcPr>
            <w:tcW w:w="1855" w:type="dxa"/>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widowControl/>
              <w:adjustRightInd w:val="0"/>
              <w:snapToGrid w:val="0"/>
              <w:jc w:val="center"/>
              <w:rPr>
                <w:rFonts w:eastAsia="华文仿宋"/>
                <w:kern w:val="0"/>
                <w:sz w:val="24"/>
              </w:rPr>
            </w:pPr>
            <w:r>
              <w:rPr>
                <w:rFonts w:eastAsia="华文仿宋"/>
                <w:kern w:val="0"/>
                <w:sz w:val="24"/>
              </w:rPr>
              <w:t>0.4</w:t>
            </w:r>
          </w:p>
        </w:tc>
      </w:tr>
      <w:tr w:rsidR="00AC704C" w:rsidTr="00D760F8">
        <w:trPr>
          <w:trHeight w:val="285"/>
          <w:jc w:val="center"/>
        </w:trPr>
        <w:tc>
          <w:tcPr>
            <w:tcW w:w="3962" w:type="dxa"/>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widowControl/>
              <w:adjustRightInd w:val="0"/>
              <w:snapToGrid w:val="0"/>
              <w:jc w:val="center"/>
              <w:rPr>
                <w:rFonts w:eastAsia="华文仿宋"/>
                <w:kern w:val="0"/>
                <w:sz w:val="24"/>
              </w:rPr>
            </w:pPr>
            <w:r>
              <w:rPr>
                <w:rFonts w:eastAsia="华文仿宋" w:hint="eastAsia"/>
                <w:kern w:val="0"/>
                <w:sz w:val="24"/>
              </w:rPr>
              <w:t>其他类型直流炉机组</w:t>
            </w:r>
          </w:p>
        </w:tc>
        <w:tc>
          <w:tcPr>
            <w:tcW w:w="1313" w:type="dxa"/>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widowControl/>
              <w:adjustRightInd w:val="0"/>
              <w:snapToGrid w:val="0"/>
              <w:jc w:val="center"/>
              <w:rPr>
                <w:rFonts w:eastAsia="华文仿宋"/>
                <w:kern w:val="0"/>
                <w:sz w:val="24"/>
              </w:rPr>
            </w:pPr>
            <w:r>
              <w:rPr>
                <w:rFonts w:eastAsia="华文仿宋"/>
                <w:kern w:val="0"/>
                <w:sz w:val="24"/>
              </w:rPr>
              <w:t>1.2</w:t>
            </w:r>
          </w:p>
        </w:tc>
        <w:tc>
          <w:tcPr>
            <w:tcW w:w="1749" w:type="dxa"/>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widowControl/>
              <w:adjustRightInd w:val="0"/>
              <w:snapToGrid w:val="0"/>
              <w:jc w:val="center"/>
              <w:rPr>
                <w:rFonts w:eastAsia="华文仿宋"/>
                <w:kern w:val="0"/>
                <w:sz w:val="24"/>
              </w:rPr>
            </w:pPr>
            <w:r>
              <w:rPr>
                <w:rFonts w:eastAsia="华文仿宋"/>
                <w:kern w:val="0"/>
                <w:sz w:val="24"/>
              </w:rPr>
              <w:t>0.9</w:t>
            </w:r>
          </w:p>
        </w:tc>
        <w:tc>
          <w:tcPr>
            <w:tcW w:w="1855" w:type="dxa"/>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widowControl/>
              <w:adjustRightInd w:val="0"/>
              <w:snapToGrid w:val="0"/>
              <w:jc w:val="center"/>
              <w:rPr>
                <w:rFonts w:eastAsia="华文仿宋"/>
                <w:kern w:val="0"/>
                <w:sz w:val="24"/>
              </w:rPr>
            </w:pPr>
            <w:r>
              <w:rPr>
                <w:rFonts w:eastAsia="华文仿宋"/>
                <w:kern w:val="0"/>
                <w:sz w:val="24"/>
              </w:rPr>
              <w:t>0.5</w:t>
            </w:r>
          </w:p>
        </w:tc>
      </w:tr>
    </w:tbl>
    <w:p w:rsidR="00AC704C" w:rsidRDefault="00AC704C" w:rsidP="00AC704C">
      <w:pPr>
        <w:pStyle w:val="a4"/>
        <w:ind w:firstLineChars="0" w:firstLine="420"/>
        <w:rPr>
          <w:rFonts w:ascii="Times New Roman" w:eastAsia="华文仿宋" w:hAnsi="Times New Roman" w:hint="eastAsia"/>
          <w:color w:val="auto"/>
          <w:sz w:val="24"/>
        </w:rPr>
      </w:pPr>
      <w:r>
        <w:rPr>
          <w:rFonts w:ascii="Times New Roman" w:eastAsia="华文仿宋" w:hAnsi="Times New Roman" w:hint="eastAsia"/>
          <w:color w:val="auto"/>
          <w:sz w:val="24"/>
        </w:rPr>
        <w:t>注：</w:t>
      </w:r>
      <w:proofErr w:type="spellStart"/>
      <w:r>
        <w:rPr>
          <w:rFonts w:ascii="Times New Roman" w:eastAsia="华文仿宋" w:hAnsi="Times New Roman"/>
          <w:color w:val="auto"/>
          <w:sz w:val="24"/>
        </w:rPr>
        <w:t>Pe</w:t>
      </w:r>
      <w:proofErr w:type="spellEnd"/>
      <w:r>
        <w:rPr>
          <w:rFonts w:ascii="Times New Roman" w:eastAsia="华文仿宋" w:hAnsi="Times New Roman" w:hint="eastAsia"/>
          <w:color w:val="auto"/>
          <w:sz w:val="24"/>
        </w:rPr>
        <w:t>为机组额定功率，</w:t>
      </w:r>
      <w:r>
        <w:rPr>
          <w:rFonts w:ascii="Times New Roman" w:eastAsia="华文仿宋" w:hAnsi="Times New Roman"/>
          <w:color w:val="auto"/>
          <w:sz w:val="24"/>
        </w:rPr>
        <w:t>P</w:t>
      </w:r>
      <w:r>
        <w:rPr>
          <w:rFonts w:ascii="Times New Roman" w:eastAsia="华文仿宋" w:hAnsi="Times New Roman" w:hint="eastAsia"/>
          <w:color w:val="auto"/>
          <w:sz w:val="24"/>
        </w:rPr>
        <w:t>为机组深度调峰实际负荷</w:t>
      </w:r>
    </w:p>
    <w:p w:rsidR="00AC704C" w:rsidRPr="007974C3" w:rsidRDefault="00AC704C" w:rsidP="00AC704C">
      <w:pPr>
        <w:adjustRightInd w:val="0"/>
        <w:snapToGrid w:val="0"/>
        <w:spacing w:line="280" w:lineRule="exact"/>
        <w:ind w:firstLineChars="200" w:firstLine="200"/>
        <w:rPr>
          <w:rFonts w:ascii="仿宋_GB2312" w:eastAsia="仿宋_GB2312" w:hAnsi="仿宋" w:hint="eastAsia"/>
          <w:sz w:val="10"/>
          <w:szCs w:val="10"/>
        </w:rPr>
      </w:pPr>
    </w:p>
    <w:p w:rsidR="00AC704C" w:rsidRPr="00FA1018" w:rsidRDefault="00AC704C" w:rsidP="00AC704C">
      <w:pPr>
        <w:adjustRightInd w:val="0"/>
        <w:snapToGrid w:val="0"/>
        <w:spacing w:line="560" w:lineRule="exact"/>
        <w:ind w:firstLineChars="200" w:firstLine="600"/>
        <w:rPr>
          <w:rFonts w:ascii="仿宋_GB2312" w:eastAsia="仿宋_GB2312" w:hAnsi="仿宋"/>
          <w:w w:val="90"/>
          <w:sz w:val="30"/>
          <w:szCs w:val="30"/>
        </w:rPr>
      </w:pPr>
      <w:r>
        <w:rPr>
          <w:rFonts w:ascii="仿宋_GB2312" w:eastAsia="仿宋_GB2312" w:hAnsi="仿宋" w:hint="eastAsia"/>
          <w:sz w:val="30"/>
          <w:szCs w:val="30"/>
        </w:rPr>
        <w:t>2.响应时间。</w:t>
      </w:r>
      <w:r w:rsidRPr="00FA1018">
        <w:rPr>
          <w:rFonts w:ascii="仿宋_GB2312" w:eastAsia="仿宋_GB2312" w:hAnsi="仿宋" w:hint="eastAsia"/>
          <w:w w:val="97"/>
          <w:sz w:val="30"/>
          <w:szCs w:val="30"/>
        </w:rPr>
        <w:t>50%Pe及以上的AGC响应时间应小于60秒；50%Pe以下AGC响应时间应小于常规调节时的125%，即响应时间应小于75秒。</w:t>
      </w:r>
    </w:p>
    <w:p w:rsidR="00AC704C" w:rsidRDefault="00AC704C" w:rsidP="00AC704C">
      <w:pPr>
        <w:adjustRightInd w:val="0"/>
        <w:snapToGrid w:val="0"/>
        <w:spacing w:line="560" w:lineRule="exact"/>
        <w:ind w:firstLineChars="200" w:firstLine="600"/>
        <w:rPr>
          <w:rFonts w:ascii="仿宋_GB2312" w:eastAsia="仿宋_GB2312" w:hAnsi="仿宋" w:hint="eastAsia"/>
          <w:sz w:val="30"/>
          <w:szCs w:val="30"/>
        </w:rPr>
      </w:pPr>
      <w:r>
        <w:rPr>
          <w:rFonts w:ascii="仿宋_GB2312" w:eastAsia="仿宋_GB2312" w:hAnsi="仿宋" w:hint="eastAsia"/>
          <w:sz w:val="30"/>
          <w:szCs w:val="30"/>
        </w:rPr>
        <w:t>3.调节精度。50%Pe及以上的AGC调节精度应小于机组额定功率的1％；50%Pe以下AGC调节精度应小于常规调节时的125%，即调节精度应小于机组额定功率的1.25％。</w:t>
      </w:r>
    </w:p>
    <w:p w:rsidR="00AC704C" w:rsidRDefault="00AC704C" w:rsidP="00AC704C">
      <w:pPr>
        <w:adjustRightInd w:val="0"/>
        <w:snapToGrid w:val="0"/>
        <w:spacing w:line="560" w:lineRule="exact"/>
        <w:ind w:firstLineChars="200" w:firstLine="600"/>
        <w:rPr>
          <w:rFonts w:ascii="仿宋_GB2312" w:eastAsia="仿宋_GB2312" w:hAnsi="仿宋" w:hint="eastAsia"/>
          <w:sz w:val="30"/>
          <w:szCs w:val="30"/>
        </w:rPr>
      </w:pPr>
      <w:r>
        <w:rPr>
          <w:rFonts w:ascii="楷体_GB2312" w:eastAsia="楷体_GB2312" w:hAnsi="仿宋" w:hint="eastAsia"/>
          <w:sz w:val="30"/>
          <w:szCs w:val="30"/>
        </w:rPr>
        <w:t>（四）AVC（自动电压控制）投运要求。</w:t>
      </w:r>
      <w:r>
        <w:rPr>
          <w:rFonts w:ascii="仿宋_GB2312" w:eastAsia="仿宋_GB2312" w:hAnsi="仿宋" w:hint="eastAsia"/>
          <w:sz w:val="30"/>
          <w:szCs w:val="30"/>
        </w:rPr>
        <w:t>改造后机组AVC应能保持正常功能。</w:t>
      </w:r>
    </w:p>
    <w:p w:rsidR="00AC704C" w:rsidRDefault="00AC704C" w:rsidP="00AC704C">
      <w:pPr>
        <w:adjustRightInd w:val="0"/>
        <w:snapToGrid w:val="0"/>
        <w:spacing w:line="560" w:lineRule="exact"/>
        <w:ind w:firstLineChars="200" w:firstLine="600"/>
        <w:rPr>
          <w:rFonts w:ascii="仿宋_GB2312" w:eastAsia="仿宋_GB2312" w:hAnsi="仿宋" w:hint="eastAsia"/>
          <w:sz w:val="30"/>
          <w:szCs w:val="30"/>
        </w:rPr>
      </w:pPr>
      <w:r>
        <w:rPr>
          <w:rFonts w:ascii="楷体_GB2312" w:eastAsia="楷体_GB2312" w:hAnsi="仿宋" w:hint="eastAsia"/>
          <w:sz w:val="30"/>
          <w:szCs w:val="30"/>
        </w:rPr>
        <w:t>（五）进相要求</w:t>
      </w:r>
      <w:r>
        <w:rPr>
          <w:rFonts w:ascii="仿宋_GB2312" w:eastAsia="仿宋_GB2312" w:hAnsi="仿宋" w:hint="eastAsia"/>
          <w:sz w:val="30"/>
          <w:szCs w:val="30"/>
        </w:rPr>
        <w:t>。改造后机组应能在进相工况下安全稳定运行，且最大吸收无功数值上不小于额定有功功率的33%。</w:t>
      </w:r>
    </w:p>
    <w:p w:rsidR="00AC704C" w:rsidRDefault="00AC704C" w:rsidP="00AC704C">
      <w:pPr>
        <w:adjustRightInd w:val="0"/>
        <w:snapToGrid w:val="0"/>
        <w:spacing w:line="560" w:lineRule="exact"/>
        <w:ind w:firstLineChars="200" w:firstLine="600"/>
        <w:rPr>
          <w:rFonts w:ascii="仿宋_GB2312" w:eastAsia="仿宋_GB2312" w:hAnsi="仿宋" w:hint="eastAsia"/>
          <w:sz w:val="30"/>
          <w:szCs w:val="30"/>
        </w:rPr>
      </w:pPr>
      <w:r>
        <w:rPr>
          <w:rFonts w:ascii="楷体_GB2312" w:eastAsia="楷体_GB2312" w:hAnsi="仿宋" w:hint="eastAsia"/>
          <w:sz w:val="30"/>
          <w:szCs w:val="30"/>
        </w:rPr>
        <w:t>（六）发电机调速系统要求</w:t>
      </w:r>
      <w:r>
        <w:rPr>
          <w:rFonts w:ascii="仿宋_GB2312" w:eastAsia="仿宋_GB2312" w:hAnsi="仿宋" w:hint="eastAsia"/>
          <w:sz w:val="30"/>
          <w:szCs w:val="30"/>
        </w:rPr>
        <w:t>。</w:t>
      </w:r>
    </w:p>
    <w:p w:rsidR="00AC704C" w:rsidRDefault="00AC704C" w:rsidP="00AC704C">
      <w:pPr>
        <w:adjustRightInd w:val="0"/>
        <w:snapToGrid w:val="0"/>
        <w:spacing w:line="560" w:lineRule="exact"/>
        <w:ind w:firstLineChars="200" w:firstLine="600"/>
        <w:rPr>
          <w:rFonts w:ascii="仿宋_GB2312" w:eastAsia="仿宋_GB2312" w:hAnsi="仿宋" w:hint="eastAsia"/>
          <w:sz w:val="30"/>
          <w:szCs w:val="30"/>
        </w:rPr>
      </w:pPr>
      <w:r w:rsidRPr="004A160A">
        <w:rPr>
          <w:rFonts w:ascii="仿宋_GB2312" w:eastAsia="仿宋_GB2312" w:hAnsi="仿宋"/>
          <w:sz w:val="30"/>
          <w:szCs w:val="30"/>
        </w:rPr>
        <w:t>1.</w:t>
      </w:r>
      <w:r w:rsidRPr="004A160A">
        <w:rPr>
          <w:rFonts w:ascii="仿宋_GB2312" w:eastAsia="仿宋_GB2312" w:hAnsi="仿宋" w:hint="eastAsia"/>
          <w:sz w:val="30"/>
          <w:szCs w:val="30"/>
        </w:rPr>
        <w:t>机组在深度调峰运行工况下，一次调频应持续投入。参与一次调频的调频负荷变化幅度上限不低于下表要求。</w:t>
      </w:r>
    </w:p>
    <w:p w:rsidR="00AC704C" w:rsidRDefault="00AC704C" w:rsidP="00AC704C">
      <w:pPr>
        <w:adjustRightInd w:val="0"/>
        <w:snapToGrid w:val="0"/>
        <w:spacing w:line="560" w:lineRule="exact"/>
        <w:ind w:firstLineChars="200" w:firstLine="600"/>
        <w:rPr>
          <w:rFonts w:ascii="仿宋_GB2312" w:eastAsia="仿宋_GB2312" w:hAnsi="仿宋" w:hint="eastAsia"/>
          <w:sz w:val="30"/>
          <w:szCs w:val="30"/>
        </w:rPr>
      </w:pPr>
    </w:p>
    <w:p w:rsidR="00AC704C" w:rsidRPr="00FA1018" w:rsidRDefault="00AC704C" w:rsidP="00AC704C">
      <w:pPr>
        <w:spacing w:line="360" w:lineRule="auto"/>
        <w:ind w:firstLineChars="200" w:firstLine="560"/>
        <w:jc w:val="center"/>
        <w:rPr>
          <w:rFonts w:ascii="黑体" w:eastAsia="黑体" w:hAnsi="黑体"/>
          <w:sz w:val="28"/>
          <w:szCs w:val="28"/>
        </w:rPr>
      </w:pPr>
      <w:r w:rsidRPr="00FA1018">
        <w:rPr>
          <w:rFonts w:ascii="黑体" w:eastAsia="黑体" w:hAnsi="黑体" w:hint="eastAsia"/>
          <w:sz w:val="28"/>
          <w:szCs w:val="28"/>
        </w:rPr>
        <w:t>深度调峰工况下机组一次调频负荷变化幅度上限要求</w:t>
      </w:r>
    </w:p>
    <w:tbl>
      <w:tblPr>
        <w:tblW w:w="90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8"/>
        <w:gridCol w:w="2020"/>
        <w:gridCol w:w="1892"/>
        <w:gridCol w:w="1475"/>
      </w:tblGrid>
      <w:tr w:rsidR="00AC704C" w:rsidTr="00D760F8">
        <w:trPr>
          <w:trHeight w:val="285"/>
        </w:trPr>
        <w:tc>
          <w:tcPr>
            <w:tcW w:w="3686" w:type="dxa"/>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pStyle w:val="a5"/>
              <w:ind w:firstLine="480"/>
              <w:jc w:val="right"/>
              <w:rPr>
                <w:rFonts w:ascii="Times New Roman" w:eastAsia="华文仿宋"/>
                <w:kern w:val="2"/>
                <w:sz w:val="24"/>
                <w:szCs w:val="24"/>
              </w:rPr>
            </w:pPr>
            <w:r>
              <w:rPr>
                <w:rFonts w:ascii="Times New Roman" w:eastAsia="华文仿宋" w:hint="eastAsia"/>
                <w:noProof/>
                <w:kern w:val="2"/>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3.55pt;margin-top:7.2pt;width:180pt;height:25.5pt;z-index:251660288" o:connectortype="straight" stroked="f"/>
              </w:pict>
            </w:r>
            <w:r>
              <w:rPr>
                <w:rFonts w:ascii="Times New Roman" w:eastAsia="华文仿宋" w:hint="eastAsia"/>
                <w:kern w:val="2"/>
                <w:sz w:val="24"/>
                <w:szCs w:val="24"/>
              </w:rPr>
              <w:t xml:space="preserve">　　深度调峰运行区间</w:t>
            </w:r>
          </w:p>
          <w:p w:rsidR="00AC704C" w:rsidRDefault="00AC704C" w:rsidP="00D760F8">
            <w:pPr>
              <w:pStyle w:val="a5"/>
              <w:ind w:firstLineChars="0" w:firstLine="0"/>
              <w:rPr>
                <w:rFonts w:ascii="Times New Roman" w:eastAsia="华文仿宋"/>
                <w:kern w:val="2"/>
                <w:sz w:val="24"/>
                <w:szCs w:val="24"/>
              </w:rPr>
            </w:pPr>
            <w:r>
              <w:rPr>
                <w:rFonts w:ascii="Times New Roman" w:eastAsia="华文仿宋" w:hint="eastAsia"/>
                <w:kern w:val="2"/>
                <w:sz w:val="24"/>
                <w:szCs w:val="24"/>
              </w:rPr>
              <w:t>机组额定有功功率</w:t>
            </w:r>
          </w:p>
        </w:tc>
        <w:tc>
          <w:tcPr>
            <w:tcW w:w="2020" w:type="dxa"/>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pStyle w:val="a5"/>
              <w:ind w:firstLineChars="0" w:firstLine="0"/>
              <w:jc w:val="center"/>
              <w:rPr>
                <w:rFonts w:ascii="Times New Roman" w:eastAsia="华文仿宋"/>
                <w:kern w:val="2"/>
                <w:sz w:val="24"/>
                <w:szCs w:val="24"/>
              </w:rPr>
            </w:pPr>
            <w:r>
              <w:rPr>
                <w:rFonts w:ascii="Times New Roman" w:eastAsia="华文仿宋"/>
                <w:kern w:val="2"/>
                <w:sz w:val="24"/>
                <w:szCs w:val="24"/>
              </w:rPr>
              <w:t>40%Pe—50%Pe</w:t>
            </w:r>
          </w:p>
        </w:tc>
        <w:tc>
          <w:tcPr>
            <w:tcW w:w="1892" w:type="dxa"/>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pStyle w:val="a5"/>
              <w:ind w:firstLineChars="0" w:firstLine="0"/>
              <w:jc w:val="center"/>
              <w:rPr>
                <w:rFonts w:ascii="Times New Roman" w:eastAsia="华文仿宋"/>
                <w:kern w:val="2"/>
                <w:sz w:val="24"/>
                <w:szCs w:val="24"/>
              </w:rPr>
            </w:pPr>
            <w:r>
              <w:rPr>
                <w:rFonts w:ascii="Times New Roman" w:eastAsia="华文仿宋"/>
                <w:kern w:val="2"/>
                <w:sz w:val="24"/>
                <w:szCs w:val="24"/>
              </w:rPr>
              <w:t>30%Pe—40%Pe</w:t>
            </w:r>
          </w:p>
        </w:tc>
        <w:tc>
          <w:tcPr>
            <w:tcW w:w="1475" w:type="dxa"/>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pStyle w:val="a5"/>
              <w:ind w:firstLineChars="0" w:firstLine="0"/>
              <w:jc w:val="center"/>
              <w:rPr>
                <w:rFonts w:ascii="Times New Roman" w:eastAsia="华文仿宋"/>
                <w:kern w:val="2"/>
                <w:sz w:val="24"/>
                <w:szCs w:val="24"/>
              </w:rPr>
            </w:pPr>
            <w:r>
              <w:rPr>
                <w:rFonts w:ascii="Times New Roman" w:eastAsia="华文仿宋"/>
                <w:kern w:val="2"/>
                <w:sz w:val="24"/>
                <w:szCs w:val="24"/>
              </w:rPr>
              <w:t>30%Pe</w:t>
            </w:r>
            <w:r>
              <w:rPr>
                <w:rFonts w:ascii="Times New Roman" w:eastAsia="华文仿宋" w:hint="eastAsia"/>
                <w:kern w:val="2"/>
                <w:sz w:val="24"/>
                <w:szCs w:val="24"/>
              </w:rPr>
              <w:t>以下</w:t>
            </w:r>
          </w:p>
        </w:tc>
      </w:tr>
      <w:tr w:rsidR="00AC704C" w:rsidTr="00D760F8">
        <w:trPr>
          <w:trHeight w:val="285"/>
        </w:trPr>
        <w:tc>
          <w:tcPr>
            <w:tcW w:w="3686" w:type="dxa"/>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pStyle w:val="a5"/>
              <w:ind w:firstLine="480"/>
              <w:rPr>
                <w:rFonts w:ascii="Times New Roman" w:eastAsia="华文仿宋"/>
                <w:kern w:val="2"/>
                <w:sz w:val="24"/>
                <w:szCs w:val="24"/>
              </w:rPr>
            </w:pPr>
            <w:r>
              <w:rPr>
                <w:rFonts w:ascii="Times New Roman" w:eastAsia="华文仿宋"/>
                <w:kern w:val="2"/>
                <w:sz w:val="24"/>
                <w:szCs w:val="24"/>
              </w:rPr>
              <w:t>350MW</w:t>
            </w:r>
            <w:r>
              <w:rPr>
                <w:rFonts w:ascii="Times New Roman" w:eastAsia="华文仿宋" w:hint="eastAsia"/>
                <w:kern w:val="2"/>
                <w:sz w:val="24"/>
                <w:szCs w:val="24"/>
              </w:rPr>
              <w:t>＞</w:t>
            </w:r>
            <w:proofErr w:type="spellStart"/>
            <w:r>
              <w:rPr>
                <w:rFonts w:ascii="Times New Roman" w:eastAsia="华文仿宋"/>
                <w:kern w:val="2"/>
                <w:sz w:val="24"/>
                <w:szCs w:val="24"/>
              </w:rPr>
              <w:t>Pe</w:t>
            </w:r>
            <w:proofErr w:type="spellEnd"/>
          </w:p>
        </w:tc>
        <w:tc>
          <w:tcPr>
            <w:tcW w:w="2020" w:type="dxa"/>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pStyle w:val="a5"/>
              <w:ind w:firstLineChars="0" w:firstLine="0"/>
              <w:jc w:val="center"/>
              <w:rPr>
                <w:rFonts w:ascii="Times New Roman" w:eastAsia="华文仿宋"/>
                <w:kern w:val="2"/>
                <w:sz w:val="24"/>
                <w:szCs w:val="24"/>
              </w:rPr>
            </w:pPr>
            <w:r>
              <w:rPr>
                <w:rFonts w:ascii="Times New Roman" w:eastAsia="华文仿宋"/>
                <w:kern w:val="2"/>
                <w:sz w:val="24"/>
                <w:szCs w:val="24"/>
              </w:rPr>
              <w:t>10%Pe</w:t>
            </w:r>
          </w:p>
        </w:tc>
        <w:tc>
          <w:tcPr>
            <w:tcW w:w="1892" w:type="dxa"/>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pStyle w:val="a5"/>
              <w:ind w:firstLineChars="0" w:firstLine="0"/>
              <w:jc w:val="center"/>
              <w:rPr>
                <w:rFonts w:ascii="Times New Roman" w:eastAsia="华文仿宋"/>
                <w:kern w:val="2"/>
                <w:sz w:val="24"/>
                <w:szCs w:val="24"/>
              </w:rPr>
            </w:pPr>
            <w:r>
              <w:rPr>
                <w:rFonts w:ascii="Times New Roman" w:eastAsia="华文仿宋"/>
                <w:kern w:val="2"/>
                <w:sz w:val="24"/>
                <w:szCs w:val="24"/>
              </w:rPr>
              <w:t>6%Pe</w:t>
            </w:r>
          </w:p>
        </w:tc>
        <w:tc>
          <w:tcPr>
            <w:tcW w:w="1475" w:type="dxa"/>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pStyle w:val="a5"/>
              <w:ind w:firstLineChars="0" w:firstLine="0"/>
              <w:jc w:val="center"/>
              <w:rPr>
                <w:rFonts w:ascii="Times New Roman" w:eastAsia="华文仿宋"/>
                <w:kern w:val="2"/>
                <w:sz w:val="24"/>
                <w:szCs w:val="24"/>
              </w:rPr>
            </w:pPr>
            <w:r>
              <w:rPr>
                <w:rFonts w:ascii="Times New Roman" w:eastAsia="华文仿宋"/>
                <w:kern w:val="2"/>
                <w:sz w:val="24"/>
                <w:szCs w:val="24"/>
              </w:rPr>
              <w:t>4%Pe</w:t>
            </w:r>
          </w:p>
        </w:tc>
      </w:tr>
      <w:tr w:rsidR="00AC704C" w:rsidTr="00D760F8">
        <w:trPr>
          <w:trHeight w:val="285"/>
        </w:trPr>
        <w:tc>
          <w:tcPr>
            <w:tcW w:w="3686" w:type="dxa"/>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pStyle w:val="a5"/>
              <w:ind w:firstLine="480"/>
              <w:rPr>
                <w:rFonts w:ascii="Times New Roman" w:eastAsia="华文仿宋"/>
                <w:kern w:val="2"/>
                <w:sz w:val="24"/>
                <w:szCs w:val="24"/>
              </w:rPr>
            </w:pPr>
            <w:r>
              <w:rPr>
                <w:rFonts w:ascii="Times New Roman" w:eastAsia="华文仿宋"/>
                <w:kern w:val="2"/>
                <w:sz w:val="24"/>
                <w:szCs w:val="24"/>
              </w:rPr>
              <w:t>500MW≥Pe≥350MW</w:t>
            </w:r>
          </w:p>
        </w:tc>
        <w:tc>
          <w:tcPr>
            <w:tcW w:w="2020" w:type="dxa"/>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pStyle w:val="a5"/>
              <w:ind w:firstLineChars="0" w:firstLine="0"/>
              <w:jc w:val="center"/>
              <w:rPr>
                <w:rFonts w:ascii="Times New Roman" w:eastAsia="华文仿宋"/>
                <w:kern w:val="2"/>
                <w:sz w:val="24"/>
                <w:szCs w:val="24"/>
              </w:rPr>
            </w:pPr>
            <w:r>
              <w:rPr>
                <w:rFonts w:ascii="Times New Roman" w:eastAsia="华文仿宋"/>
                <w:kern w:val="2"/>
                <w:sz w:val="24"/>
                <w:szCs w:val="24"/>
              </w:rPr>
              <w:t>8%Pe</w:t>
            </w:r>
          </w:p>
        </w:tc>
        <w:tc>
          <w:tcPr>
            <w:tcW w:w="1892" w:type="dxa"/>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pStyle w:val="a5"/>
              <w:ind w:firstLineChars="0" w:firstLine="0"/>
              <w:jc w:val="center"/>
              <w:rPr>
                <w:rFonts w:ascii="Times New Roman" w:eastAsia="华文仿宋"/>
                <w:kern w:val="2"/>
                <w:sz w:val="24"/>
                <w:szCs w:val="24"/>
              </w:rPr>
            </w:pPr>
            <w:r>
              <w:rPr>
                <w:rFonts w:ascii="Times New Roman" w:eastAsia="华文仿宋"/>
                <w:kern w:val="2"/>
                <w:sz w:val="24"/>
                <w:szCs w:val="24"/>
              </w:rPr>
              <w:t>5%Pe</w:t>
            </w:r>
          </w:p>
        </w:tc>
        <w:tc>
          <w:tcPr>
            <w:tcW w:w="1475" w:type="dxa"/>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pStyle w:val="a5"/>
              <w:ind w:firstLineChars="0" w:firstLine="0"/>
              <w:jc w:val="center"/>
              <w:rPr>
                <w:rFonts w:ascii="Times New Roman" w:eastAsia="华文仿宋"/>
                <w:kern w:val="2"/>
                <w:sz w:val="24"/>
                <w:szCs w:val="24"/>
              </w:rPr>
            </w:pPr>
            <w:r>
              <w:rPr>
                <w:rFonts w:ascii="Times New Roman" w:eastAsia="华文仿宋"/>
                <w:kern w:val="2"/>
                <w:sz w:val="24"/>
                <w:szCs w:val="24"/>
              </w:rPr>
              <w:t>4%Pe</w:t>
            </w:r>
          </w:p>
        </w:tc>
      </w:tr>
      <w:tr w:rsidR="00AC704C" w:rsidTr="00D760F8">
        <w:trPr>
          <w:trHeight w:val="129"/>
        </w:trPr>
        <w:tc>
          <w:tcPr>
            <w:tcW w:w="3686" w:type="dxa"/>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pStyle w:val="a5"/>
              <w:ind w:firstLine="480"/>
              <w:rPr>
                <w:rFonts w:ascii="Times New Roman" w:eastAsia="华文仿宋"/>
                <w:kern w:val="2"/>
                <w:sz w:val="24"/>
                <w:szCs w:val="24"/>
              </w:rPr>
            </w:pPr>
            <w:proofErr w:type="spellStart"/>
            <w:r>
              <w:rPr>
                <w:rFonts w:ascii="Times New Roman" w:eastAsia="华文仿宋"/>
                <w:kern w:val="2"/>
                <w:sz w:val="24"/>
                <w:szCs w:val="24"/>
              </w:rPr>
              <w:t>Pe</w:t>
            </w:r>
            <w:proofErr w:type="spellEnd"/>
            <w:r>
              <w:rPr>
                <w:rFonts w:ascii="Times New Roman" w:eastAsia="华文仿宋" w:hint="eastAsia"/>
                <w:kern w:val="2"/>
                <w:sz w:val="24"/>
                <w:szCs w:val="24"/>
              </w:rPr>
              <w:t>＞</w:t>
            </w:r>
            <w:r>
              <w:rPr>
                <w:rFonts w:ascii="Times New Roman" w:eastAsia="华文仿宋"/>
                <w:kern w:val="2"/>
                <w:sz w:val="24"/>
                <w:szCs w:val="24"/>
              </w:rPr>
              <w:t>500MW</w:t>
            </w:r>
          </w:p>
        </w:tc>
        <w:tc>
          <w:tcPr>
            <w:tcW w:w="2020" w:type="dxa"/>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pStyle w:val="a5"/>
              <w:ind w:firstLineChars="0" w:firstLine="0"/>
              <w:jc w:val="center"/>
              <w:rPr>
                <w:rFonts w:ascii="Times New Roman" w:eastAsia="华文仿宋"/>
                <w:kern w:val="2"/>
                <w:sz w:val="24"/>
                <w:szCs w:val="24"/>
              </w:rPr>
            </w:pPr>
            <w:r>
              <w:rPr>
                <w:rFonts w:ascii="Times New Roman" w:eastAsia="华文仿宋"/>
                <w:kern w:val="2"/>
                <w:sz w:val="24"/>
                <w:szCs w:val="24"/>
              </w:rPr>
              <w:t>6%Pe</w:t>
            </w:r>
          </w:p>
        </w:tc>
        <w:tc>
          <w:tcPr>
            <w:tcW w:w="1892" w:type="dxa"/>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pStyle w:val="a5"/>
              <w:ind w:firstLineChars="0" w:firstLine="0"/>
              <w:jc w:val="center"/>
              <w:rPr>
                <w:rFonts w:ascii="Times New Roman" w:eastAsia="华文仿宋"/>
                <w:kern w:val="2"/>
                <w:sz w:val="24"/>
                <w:szCs w:val="24"/>
              </w:rPr>
            </w:pPr>
            <w:r>
              <w:rPr>
                <w:rFonts w:ascii="Times New Roman" w:eastAsia="华文仿宋"/>
                <w:kern w:val="2"/>
                <w:sz w:val="24"/>
                <w:szCs w:val="24"/>
              </w:rPr>
              <w:t>4%Pe</w:t>
            </w:r>
          </w:p>
        </w:tc>
        <w:tc>
          <w:tcPr>
            <w:tcW w:w="1475" w:type="dxa"/>
            <w:tcBorders>
              <w:top w:val="single" w:sz="4" w:space="0" w:color="auto"/>
              <w:left w:val="single" w:sz="4" w:space="0" w:color="auto"/>
              <w:bottom w:val="single" w:sz="4" w:space="0" w:color="auto"/>
              <w:right w:val="single" w:sz="4" w:space="0" w:color="auto"/>
            </w:tcBorders>
            <w:vAlign w:val="center"/>
            <w:hideMark/>
          </w:tcPr>
          <w:p w:rsidR="00AC704C" w:rsidRDefault="00AC704C" w:rsidP="00D760F8">
            <w:pPr>
              <w:pStyle w:val="a5"/>
              <w:ind w:firstLineChars="0" w:firstLine="0"/>
              <w:jc w:val="center"/>
              <w:rPr>
                <w:rFonts w:ascii="Times New Roman" w:eastAsia="华文仿宋"/>
                <w:kern w:val="2"/>
                <w:sz w:val="24"/>
                <w:szCs w:val="24"/>
              </w:rPr>
            </w:pPr>
            <w:r>
              <w:rPr>
                <w:rFonts w:ascii="Times New Roman" w:eastAsia="华文仿宋"/>
                <w:kern w:val="2"/>
                <w:sz w:val="24"/>
                <w:szCs w:val="24"/>
              </w:rPr>
              <w:t>3%Pe</w:t>
            </w:r>
          </w:p>
        </w:tc>
      </w:tr>
    </w:tbl>
    <w:p w:rsidR="00AC704C" w:rsidRPr="004A160A" w:rsidRDefault="00AC704C" w:rsidP="00AC704C">
      <w:pPr>
        <w:snapToGrid w:val="0"/>
        <w:spacing w:line="560" w:lineRule="exact"/>
        <w:ind w:firstLineChars="200" w:firstLine="600"/>
        <w:rPr>
          <w:rFonts w:ascii="仿宋_GB2312" w:eastAsia="仿宋_GB2312" w:hAnsi="仿宋" w:hint="eastAsia"/>
          <w:sz w:val="30"/>
          <w:szCs w:val="30"/>
        </w:rPr>
      </w:pPr>
      <w:r w:rsidRPr="004A160A">
        <w:rPr>
          <w:rFonts w:ascii="仿宋_GB2312" w:eastAsia="仿宋_GB2312" w:hAnsi="仿宋"/>
          <w:sz w:val="30"/>
          <w:szCs w:val="30"/>
        </w:rPr>
        <w:t>2.</w:t>
      </w:r>
      <w:r w:rsidRPr="004A160A">
        <w:rPr>
          <w:rFonts w:ascii="仿宋_GB2312" w:eastAsia="仿宋_GB2312" w:hAnsi="仿宋" w:hint="eastAsia"/>
          <w:sz w:val="30"/>
          <w:szCs w:val="30"/>
        </w:rPr>
        <w:t>一次调频动态指标、转速不等率与常规调节方式相同：一次调频的响应滞后时间应小于</w:t>
      </w:r>
      <w:r w:rsidRPr="004A160A">
        <w:rPr>
          <w:rFonts w:ascii="仿宋_GB2312" w:eastAsia="仿宋_GB2312" w:hAnsi="仿宋"/>
          <w:sz w:val="30"/>
          <w:szCs w:val="30"/>
        </w:rPr>
        <w:t>2</w:t>
      </w:r>
      <w:r w:rsidRPr="004A160A">
        <w:rPr>
          <w:rFonts w:ascii="仿宋_GB2312" w:eastAsia="仿宋_GB2312" w:hAnsi="仿宋" w:hint="eastAsia"/>
          <w:sz w:val="30"/>
          <w:szCs w:val="30"/>
        </w:rPr>
        <w:t>秒；一次调频的稳定时间应小于</w:t>
      </w:r>
      <w:r w:rsidRPr="004A160A">
        <w:rPr>
          <w:rFonts w:ascii="仿宋_GB2312" w:eastAsia="仿宋_GB2312" w:hAnsi="仿宋"/>
          <w:sz w:val="30"/>
          <w:szCs w:val="30"/>
        </w:rPr>
        <w:t>60</w:t>
      </w:r>
      <w:r w:rsidRPr="004A160A">
        <w:rPr>
          <w:rFonts w:ascii="仿宋_GB2312" w:eastAsia="仿宋_GB2312" w:hAnsi="仿宋" w:hint="eastAsia"/>
          <w:sz w:val="30"/>
          <w:szCs w:val="30"/>
        </w:rPr>
        <w:t>秒；一次调频负荷响应速度满足：达到</w:t>
      </w:r>
      <w:r w:rsidRPr="004A160A">
        <w:rPr>
          <w:rFonts w:ascii="仿宋_GB2312" w:eastAsia="仿宋_GB2312" w:hAnsi="仿宋"/>
          <w:sz w:val="30"/>
          <w:szCs w:val="30"/>
        </w:rPr>
        <w:t>75%</w:t>
      </w:r>
      <w:r w:rsidRPr="004A160A">
        <w:rPr>
          <w:rFonts w:ascii="仿宋_GB2312" w:eastAsia="仿宋_GB2312" w:hAnsi="仿宋" w:hint="eastAsia"/>
          <w:sz w:val="30"/>
          <w:szCs w:val="30"/>
        </w:rPr>
        <w:t>目标负荷的时间应不大于</w:t>
      </w:r>
      <w:r w:rsidRPr="004A160A">
        <w:rPr>
          <w:rFonts w:ascii="仿宋_GB2312" w:eastAsia="仿宋_GB2312" w:hAnsi="仿宋"/>
          <w:sz w:val="30"/>
          <w:szCs w:val="30"/>
        </w:rPr>
        <w:t>15</w:t>
      </w:r>
      <w:r w:rsidRPr="004A160A">
        <w:rPr>
          <w:rFonts w:ascii="仿宋_GB2312" w:eastAsia="仿宋_GB2312" w:hAnsi="仿宋" w:hint="eastAsia"/>
          <w:sz w:val="30"/>
          <w:szCs w:val="30"/>
        </w:rPr>
        <w:t>秒，达到</w:t>
      </w:r>
      <w:r w:rsidRPr="004A160A">
        <w:rPr>
          <w:rFonts w:ascii="仿宋_GB2312" w:eastAsia="仿宋_GB2312" w:hAnsi="仿宋"/>
          <w:sz w:val="30"/>
          <w:szCs w:val="30"/>
        </w:rPr>
        <w:t>90%</w:t>
      </w:r>
      <w:r w:rsidRPr="004A160A">
        <w:rPr>
          <w:rFonts w:ascii="仿宋_GB2312" w:eastAsia="仿宋_GB2312" w:hAnsi="仿宋" w:hint="eastAsia"/>
          <w:sz w:val="30"/>
          <w:szCs w:val="30"/>
        </w:rPr>
        <w:t>目标负荷的时间应不大于</w:t>
      </w:r>
      <w:r w:rsidRPr="004A160A">
        <w:rPr>
          <w:rFonts w:ascii="仿宋_GB2312" w:eastAsia="仿宋_GB2312" w:hAnsi="仿宋"/>
          <w:sz w:val="30"/>
          <w:szCs w:val="30"/>
        </w:rPr>
        <w:t>30</w:t>
      </w:r>
      <w:r w:rsidRPr="004A160A">
        <w:rPr>
          <w:rFonts w:ascii="仿宋_GB2312" w:eastAsia="仿宋_GB2312" w:hAnsi="仿宋" w:hint="eastAsia"/>
          <w:sz w:val="30"/>
          <w:szCs w:val="30"/>
        </w:rPr>
        <w:t>秒；一次调频转速不等率应为</w:t>
      </w:r>
      <w:r w:rsidRPr="004A160A">
        <w:rPr>
          <w:rFonts w:ascii="仿宋_GB2312" w:eastAsia="仿宋_GB2312" w:hAnsi="仿宋"/>
          <w:sz w:val="30"/>
          <w:szCs w:val="30"/>
        </w:rPr>
        <w:t>4%</w:t>
      </w:r>
      <w:r w:rsidRPr="004A160A">
        <w:rPr>
          <w:rFonts w:ascii="仿宋_GB2312" w:eastAsia="仿宋_GB2312" w:hAnsi="仿宋" w:hint="eastAsia"/>
          <w:sz w:val="30"/>
          <w:szCs w:val="30"/>
        </w:rPr>
        <w:t>～</w:t>
      </w:r>
      <w:r w:rsidRPr="004A160A">
        <w:rPr>
          <w:rFonts w:ascii="仿宋_GB2312" w:eastAsia="仿宋_GB2312" w:hAnsi="仿宋"/>
          <w:sz w:val="30"/>
          <w:szCs w:val="30"/>
        </w:rPr>
        <w:t>5%</w:t>
      </w:r>
      <w:r w:rsidRPr="004A160A">
        <w:rPr>
          <w:rFonts w:ascii="仿宋_GB2312" w:eastAsia="仿宋_GB2312" w:hAnsi="仿宋" w:hint="eastAsia"/>
          <w:sz w:val="30"/>
          <w:szCs w:val="30"/>
        </w:rPr>
        <w:t>。</w:t>
      </w:r>
    </w:p>
    <w:p w:rsidR="00AC704C" w:rsidRDefault="00AC704C" w:rsidP="00AC704C">
      <w:pPr>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3.机组在深度调峰运行工况下，开展调速系统参数实测与建模试验。</w:t>
      </w:r>
    </w:p>
    <w:p w:rsidR="00AC704C" w:rsidRDefault="00AC704C" w:rsidP="00AC704C">
      <w:pPr>
        <w:snapToGrid w:val="0"/>
        <w:spacing w:line="560" w:lineRule="exact"/>
        <w:ind w:firstLineChars="200" w:firstLine="600"/>
        <w:rPr>
          <w:rFonts w:ascii="仿宋_GB2312" w:eastAsia="仿宋_GB2312" w:hAnsi="仿宋" w:hint="eastAsia"/>
          <w:sz w:val="30"/>
          <w:szCs w:val="30"/>
        </w:rPr>
      </w:pPr>
      <w:r>
        <w:rPr>
          <w:rFonts w:ascii="楷体_GB2312" w:eastAsia="楷体_GB2312" w:hAnsi="仿宋" w:hint="eastAsia"/>
          <w:sz w:val="30"/>
          <w:szCs w:val="30"/>
        </w:rPr>
        <w:t>（七）环保要求</w:t>
      </w:r>
      <w:r>
        <w:rPr>
          <w:rFonts w:ascii="仿宋_GB2312" w:eastAsia="仿宋_GB2312" w:hAnsi="仿宋" w:hint="eastAsia"/>
          <w:sz w:val="30"/>
          <w:szCs w:val="30"/>
        </w:rPr>
        <w:t>。改造后机组粉尘、</w:t>
      </w:r>
      <w:proofErr w:type="spellStart"/>
      <w:r>
        <w:rPr>
          <w:rFonts w:ascii="仿宋_GB2312" w:eastAsia="仿宋_GB2312" w:hAnsi="仿宋" w:hint="eastAsia"/>
          <w:sz w:val="30"/>
          <w:szCs w:val="30"/>
        </w:rPr>
        <w:t>NO</w:t>
      </w:r>
      <w:r>
        <w:rPr>
          <w:rFonts w:ascii="仿宋_GB2312" w:eastAsia="仿宋_GB2312" w:hAnsi="仿宋" w:hint="eastAsia"/>
          <w:sz w:val="30"/>
          <w:szCs w:val="30"/>
          <w:vertAlign w:val="subscript"/>
        </w:rPr>
        <w:t>x</w:t>
      </w:r>
      <w:proofErr w:type="spellEnd"/>
      <w:r>
        <w:rPr>
          <w:rFonts w:ascii="仿宋_GB2312" w:eastAsia="仿宋_GB2312" w:hAnsi="仿宋" w:hint="eastAsia"/>
          <w:sz w:val="30"/>
          <w:szCs w:val="30"/>
        </w:rPr>
        <w:t>、氨逃逸、SO</w:t>
      </w:r>
      <w:r>
        <w:rPr>
          <w:rFonts w:ascii="仿宋_GB2312" w:eastAsia="仿宋_GB2312" w:hAnsi="仿宋" w:hint="eastAsia"/>
          <w:sz w:val="30"/>
          <w:szCs w:val="30"/>
          <w:vertAlign w:val="subscript"/>
        </w:rPr>
        <w:t>2</w:t>
      </w:r>
      <w:r>
        <w:rPr>
          <w:rFonts w:ascii="仿宋_GB2312" w:eastAsia="仿宋_GB2312" w:hAnsi="仿宋" w:hint="eastAsia"/>
          <w:sz w:val="30"/>
          <w:szCs w:val="30"/>
        </w:rPr>
        <w:t>等污染物排放指标应满足相关要求。</w:t>
      </w:r>
    </w:p>
    <w:p w:rsidR="00AC704C" w:rsidRDefault="00AC704C" w:rsidP="00AC704C">
      <w:pPr>
        <w:snapToGrid w:val="0"/>
        <w:spacing w:line="560" w:lineRule="exact"/>
        <w:ind w:firstLineChars="200" w:firstLine="600"/>
        <w:rPr>
          <w:rFonts w:ascii="仿宋_GB2312" w:eastAsia="仿宋_GB2312" w:hAnsi="仿宋" w:hint="eastAsia"/>
          <w:sz w:val="30"/>
          <w:szCs w:val="30"/>
        </w:rPr>
      </w:pPr>
      <w:r>
        <w:rPr>
          <w:rFonts w:ascii="楷体_GB2312" w:eastAsia="楷体_GB2312" w:hAnsi="仿宋" w:hint="eastAsia"/>
          <w:sz w:val="30"/>
          <w:szCs w:val="30"/>
        </w:rPr>
        <w:t>（八）运行经济性要求</w:t>
      </w:r>
      <w:r>
        <w:rPr>
          <w:rFonts w:ascii="仿宋_GB2312" w:eastAsia="仿宋_GB2312" w:hAnsi="仿宋" w:hint="eastAsia"/>
          <w:sz w:val="30"/>
          <w:szCs w:val="30"/>
        </w:rPr>
        <w:t>。尽可能提高机组运行经济性，禁止为降低出力采取直接外排有用能等非经济运行方式。同时核算改造后机组调峰运行边际成本。</w:t>
      </w:r>
    </w:p>
    <w:p w:rsidR="00AC704C" w:rsidRDefault="00AC704C" w:rsidP="00AC704C">
      <w:pPr>
        <w:snapToGrid w:val="0"/>
        <w:spacing w:line="560" w:lineRule="exact"/>
        <w:ind w:firstLineChars="200" w:firstLine="600"/>
        <w:rPr>
          <w:rFonts w:ascii="仿宋_GB2312" w:eastAsia="仿宋_GB2312" w:hAnsi="仿宋" w:hint="eastAsia"/>
          <w:sz w:val="30"/>
          <w:szCs w:val="30"/>
        </w:rPr>
      </w:pPr>
      <w:r>
        <w:rPr>
          <w:rFonts w:ascii="楷体_GB2312" w:eastAsia="楷体_GB2312" w:hAnsi="仿宋" w:hint="eastAsia"/>
          <w:sz w:val="30"/>
          <w:szCs w:val="30"/>
        </w:rPr>
        <w:t>（九）供热机组供热能力要求</w:t>
      </w:r>
      <w:r>
        <w:rPr>
          <w:rFonts w:ascii="仿宋_GB2312" w:eastAsia="仿宋_GB2312" w:hAnsi="仿宋" w:hint="eastAsia"/>
          <w:sz w:val="30"/>
          <w:szCs w:val="30"/>
        </w:rPr>
        <w:t>。机组灵活性运行期间，机组应能保证发电企业实际供热需求。</w:t>
      </w:r>
    </w:p>
    <w:p w:rsidR="00AC704C" w:rsidRDefault="00AC704C" w:rsidP="00AC704C">
      <w:pPr>
        <w:snapToGrid w:val="0"/>
        <w:spacing w:line="560" w:lineRule="exact"/>
        <w:ind w:firstLineChars="200" w:firstLine="600"/>
        <w:rPr>
          <w:rFonts w:ascii="仿宋_GB2312" w:eastAsia="仿宋_GB2312" w:hAnsi="仿宋" w:hint="eastAsia"/>
          <w:sz w:val="30"/>
          <w:szCs w:val="30"/>
        </w:rPr>
      </w:pPr>
      <w:r>
        <w:rPr>
          <w:rFonts w:ascii="楷体_GB2312" w:eastAsia="楷体_GB2312" w:hAnsi="仿宋" w:hint="eastAsia"/>
          <w:sz w:val="30"/>
          <w:szCs w:val="30"/>
        </w:rPr>
        <w:t>（十）发电机励磁系统（含PSS）要求</w:t>
      </w:r>
      <w:r>
        <w:rPr>
          <w:rFonts w:ascii="仿宋_GB2312" w:eastAsia="仿宋_GB2312" w:hAnsi="仿宋" w:hint="eastAsia"/>
          <w:sz w:val="30"/>
          <w:szCs w:val="30"/>
        </w:rPr>
        <w:t>。</w:t>
      </w:r>
      <w:r w:rsidRPr="009D6200">
        <w:rPr>
          <w:rFonts w:ascii="仿宋_GB2312" w:eastAsia="仿宋_GB2312" w:hAnsi="仿宋" w:hint="eastAsia"/>
          <w:sz w:val="30"/>
          <w:szCs w:val="30"/>
        </w:rPr>
        <w:t>改造后机组励磁系统（含</w:t>
      </w:r>
      <w:r w:rsidRPr="009D6200">
        <w:rPr>
          <w:rFonts w:ascii="仿宋_GB2312" w:eastAsia="仿宋_GB2312" w:hAnsi="仿宋"/>
          <w:sz w:val="30"/>
          <w:szCs w:val="30"/>
        </w:rPr>
        <w:t>PSS</w:t>
      </w:r>
      <w:r w:rsidRPr="009D6200">
        <w:rPr>
          <w:rFonts w:ascii="仿宋_GB2312" w:eastAsia="仿宋_GB2312" w:hAnsi="仿宋" w:hint="eastAsia"/>
          <w:sz w:val="30"/>
          <w:szCs w:val="30"/>
        </w:rPr>
        <w:t>）性能应保证在所有运行工况下满足标准</w:t>
      </w:r>
      <w:r w:rsidRPr="009D6200">
        <w:rPr>
          <w:rFonts w:ascii="仿宋_GB2312" w:eastAsia="仿宋_GB2312" w:hAnsi="仿宋"/>
          <w:sz w:val="30"/>
          <w:szCs w:val="30"/>
        </w:rPr>
        <w:t>GB/T7409.3</w:t>
      </w:r>
      <w:r w:rsidRPr="009D6200">
        <w:rPr>
          <w:rFonts w:ascii="仿宋_GB2312" w:eastAsia="仿宋_GB2312" w:hAnsi="仿宋" w:hint="eastAsia"/>
          <w:sz w:val="30"/>
          <w:szCs w:val="30"/>
        </w:rPr>
        <w:t>、</w:t>
      </w:r>
      <w:r w:rsidRPr="009D6200">
        <w:rPr>
          <w:rFonts w:ascii="仿宋_GB2312" w:eastAsia="仿宋_GB2312" w:hAnsi="仿宋"/>
          <w:sz w:val="30"/>
          <w:szCs w:val="30"/>
        </w:rPr>
        <w:lastRenderedPageBreak/>
        <w:t>DL/T843</w:t>
      </w:r>
      <w:r w:rsidRPr="009D6200">
        <w:rPr>
          <w:rFonts w:ascii="仿宋_GB2312" w:eastAsia="仿宋_GB2312" w:hAnsi="仿宋" w:hint="eastAsia"/>
          <w:sz w:val="30"/>
          <w:szCs w:val="30"/>
        </w:rPr>
        <w:t>的要求。</w:t>
      </w:r>
      <w:r w:rsidRPr="009D6200">
        <w:rPr>
          <w:rFonts w:ascii="仿宋_GB2312" w:eastAsia="仿宋_GB2312" w:hAnsi="仿宋"/>
          <w:sz w:val="30"/>
          <w:szCs w:val="30"/>
        </w:rPr>
        <w:t>PSS</w:t>
      </w:r>
      <w:r w:rsidRPr="009D6200">
        <w:rPr>
          <w:rFonts w:ascii="仿宋_GB2312" w:eastAsia="仿宋_GB2312" w:hAnsi="仿宋" w:hint="eastAsia"/>
          <w:sz w:val="30"/>
          <w:szCs w:val="30"/>
        </w:rPr>
        <w:t>功能应全程正常投入，性能要求与</w:t>
      </w:r>
      <w:r w:rsidRPr="009D6200">
        <w:rPr>
          <w:rFonts w:ascii="仿宋_GB2312" w:eastAsia="仿宋_GB2312" w:hAnsi="仿宋"/>
          <w:sz w:val="30"/>
          <w:szCs w:val="30"/>
        </w:rPr>
        <w:t>50%</w:t>
      </w:r>
      <w:r w:rsidRPr="009D6200">
        <w:rPr>
          <w:rFonts w:ascii="仿宋_GB2312" w:eastAsia="仿宋_GB2312" w:hAnsi="仿宋" w:hint="eastAsia"/>
          <w:sz w:val="30"/>
          <w:szCs w:val="30"/>
        </w:rPr>
        <w:t>额定功率以上运行工况一致。</w:t>
      </w:r>
    </w:p>
    <w:p w:rsidR="00AC704C" w:rsidRDefault="00AC704C" w:rsidP="00AC704C">
      <w:pPr>
        <w:snapToGrid w:val="0"/>
        <w:spacing w:line="560" w:lineRule="exact"/>
        <w:ind w:firstLineChars="200" w:firstLine="600"/>
        <w:rPr>
          <w:rFonts w:ascii="仿宋_GB2312" w:eastAsia="仿宋_GB2312" w:hAnsi="仿宋" w:hint="eastAsia"/>
          <w:sz w:val="30"/>
          <w:szCs w:val="30"/>
        </w:rPr>
      </w:pPr>
      <w:r>
        <w:rPr>
          <w:rFonts w:ascii="楷体_GB2312" w:eastAsia="楷体_GB2312" w:hAnsi="仿宋" w:hint="eastAsia"/>
          <w:sz w:val="30"/>
          <w:szCs w:val="30"/>
        </w:rPr>
        <w:t>（十一）上下限连续运行能力要求</w:t>
      </w:r>
      <w:r>
        <w:rPr>
          <w:rFonts w:ascii="仿宋_GB2312" w:eastAsia="仿宋_GB2312" w:hAnsi="仿宋" w:hint="eastAsia"/>
          <w:sz w:val="30"/>
          <w:szCs w:val="30"/>
        </w:rPr>
        <w:t>。开展24小时连续运行能力试验,原则上包含负荷下限至少6小时、负荷上限6小时和跟随电网调度12小时。</w:t>
      </w:r>
    </w:p>
    <w:p w:rsidR="00AC704C" w:rsidRDefault="00AC704C" w:rsidP="00AC704C">
      <w:pPr>
        <w:snapToGrid w:val="0"/>
        <w:spacing w:line="560" w:lineRule="exact"/>
        <w:jc w:val="center"/>
        <w:rPr>
          <w:rFonts w:ascii="黑体" w:eastAsia="黑体" w:hAnsi="黑体" w:hint="eastAsia"/>
          <w:sz w:val="30"/>
          <w:szCs w:val="30"/>
        </w:rPr>
      </w:pPr>
    </w:p>
    <w:p w:rsidR="00AC704C" w:rsidRDefault="00AC704C" w:rsidP="00AC704C">
      <w:pPr>
        <w:snapToGrid w:val="0"/>
        <w:spacing w:line="560" w:lineRule="exact"/>
        <w:jc w:val="center"/>
        <w:rPr>
          <w:rFonts w:ascii="黑体" w:eastAsia="黑体" w:hAnsi="黑体" w:hint="eastAsia"/>
          <w:sz w:val="30"/>
          <w:szCs w:val="30"/>
        </w:rPr>
      </w:pPr>
      <w:r>
        <w:rPr>
          <w:rFonts w:ascii="黑体" w:eastAsia="黑体" w:hAnsi="黑体" w:hint="eastAsia"/>
          <w:sz w:val="30"/>
          <w:szCs w:val="30"/>
        </w:rPr>
        <w:t>第四章 工作程序</w:t>
      </w:r>
    </w:p>
    <w:p w:rsidR="00AC704C" w:rsidRDefault="00AC704C" w:rsidP="00AC704C">
      <w:pPr>
        <w:snapToGrid w:val="0"/>
        <w:spacing w:line="560" w:lineRule="exact"/>
        <w:ind w:firstLineChars="197" w:firstLine="593"/>
        <w:rPr>
          <w:rFonts w:ascii="仿宋_GB2312" w:eastAsia="仿宋_GB2312" w:hAnsi="仿宋" w:hint="eastAsia"/>
          <w:sz w:val="30"/>
          <w:szCs w:val="30"/>
        </w:rPr>
      </w:pPr>
      <w:r>
        <w:rPr>
          <w:rFonts w:ascii="仿宋_GB2312" w:eastAsia="仿宋_GB2312" w:hAnsi="仿宋" w:hint="eastAsia"/>
          <w:b/>
          <w:sz w:val="30"/>
          <w:szCs w:val="30"/>
        </w:rPr>
        <w:t>第八条</w:t>
      </w:r>
      <w:r>
        <w:rPr>
          <w:rFonts w:ascii="仿宋_GB2312" w:eastAsia="仿宋_GB2312" w:hAnsi="仿宋" w:hint="eastAsia"/>
          <w:sz w:val="30"/>
          <w:szCs w:val="30"/>
        </w:rPr>
        <w:t xml:space="preserve"> 燃煤发电机组灵活性改造后应进行验收。对于凝汽式发电、热电联产方式的发电机组，应分别履行验收程序，不同方式下相同的试验与验证项目不重复进行。</w:t>
      </w:r>
    </w:p>
    <w:p w:rsidR="00AC704C" w:rsidRDefault="00AC704C" w:rsidP="00AC704C">
      <w:pPr>
        <w:snapToGrid w:val="0"/>
        <w:spacing w:line="560" w:lineRule="exact"/>
        <w:ind w:firstLineChars="200" w:firstLine="600"/>
        <w:rPr>
          <w:rFonts w:ascii="仿宋_GB2312" w:eastAsia="仿宋_GB2312" w:hAnsi="仿宋" w:hint="eastAsia"/>
          <w:sz w:val="30"/>
          <w:szCs w:val="30"/>
        </w:rPr>
      </w:pPr>
      <w:r>
        <w:rPr>
          <w:rFonts w:ascii="仿宋_GB2312" w:eastAsia="仿宋_GB2312" w:hAnsi="仿宋" w:hint="eastAsia"/>
          <w:sz w:val="30"/>
          <w:szCs w:val="30"/>
        </w:rPr>
        <w:t>通过灵活性能力验收的发电机组，再次通过技术改造、运行优化等技术方法提高了灵活性，发电企业需要重新履行验收程序。</w:t>
      </w:r>
    </w:p>
    <w:p w:rsidR="00AC704C" w:rsidRDefault="00AC704C" w:rsidP="00AC704C">
      <w:pPr>
        <w:snapToGrid w:val="0"/>
        <w:spacing w:line="560" w:lineRule="exact"/>
        <w:ind w:firstLineChars="200" w:firstLine="602"/>
        <w:rPr>
          <w:rFonts w:ascii="仿宋_GB2312" w:eastAsia="仿宋_GB2312" w:hAnsi="仿宋" w:hint="eastAsia"/>
          <w:sz w:val="30"/>
          <w:szCs w:val="30"/>
        </w:rPr>
      </w:pPr>
      <w:r>
        <w:rPr>
          <w:rFonts w:ascii="仿宋_GB2312" w:eastAsia="仿宋_GB2312" w:hAnsi="仿宋" w:hint="eastAsia"/>
          <w:b/>
          <w:sz w:val="30"/>
          <w:szCs w:val="30"/>
        </w:rPr>
        <w:t>第九条</w:t>
      </w:r>
      <w:r>
        <w:rPr>
          <w:rFonts w:ascii="仿宋_GB2312" w:eastAsia="仿宋_GB2312" w:hAnsi="仿宋" w:hint="eastAsia"/>
          <w:sz w:val="30"/>
          <w:szCs w:val="30"/>
        </w:rPr>
        <w:t xml:space="preserve"> 发电企业应委托具有电力工程调试单位能力证书（电源工程类特级调试单位、电网工程类特级调试单位）、检验检测机构资质认定证书，或中国合格评定国家认可委员会实验室认可证书等资质的第三方机构开展发电机组灵活性能力验证试验与评价。</w:t>
      </w:r>
    </w:p>
    <w:p w:rsidR="00AC704C" w:rsidRDefault="00AC704C" w:rsidP="00AC704C">
      <w:pPr>
        <w:snapToGrid w:val="0"/>
        <w:spacing w:line="560" w:lineRule="exact"/>
        <w:ind w:firstLineChars="200" w:firstLine="602"/>
        <w:rPr>
          <w:rFonts w:ascii="仿宋_GB2312" w:eastAsia="仿宋_GB2312" w:hAnsi="仿宋" w:hint="eastAsia"/>
          <w:sz w:val="30"/>
          <w:szCs w:val="30"/>
        </w:rPr>
      </w:pPr>
      <w:r>
        <w:rPr>
          <w:rFonts w:ascii="仿宋_GB2312" w:eastAsia="仿宋_GB2312" w:hAnsi="仿宋" w:hint="eastAsia"/>
          <w:b/>
          <w:sz w:val="30"/>
          <w:szCs w:val="30"/>
        </w:rPr>
        <w:t>第十条</w:t>
      </w:r>
      <w:r>
        <w:rPr>
          <w:rFonts w:ascii="仿宋_GB2312" w:eastAsia="仿宋_GB2312" w:hAnsi="仿宋" w:hint="eastAsia"/>
          <w:sz w:val="30"/>
          <w:szCs w:val="30"/>
        </w:rPr>
        <w:t xml:space="preserve"> 发电企业提前5个工作日向电力调度机构提交验收试验申请，第三方机构按照技术方案开展工作，负责相关技术文件与数据的收集、整理、审核，进行试验，并出具试验报告。</w:t>
      </w:r>
    </w:p>
    <w:p w:rsidR="00AC704C" w:rsidRDefault="00AC704C" w:rsidP="00AC704C">
      <w:pPr>
        <w:snapToGrid w:val="0"/>
        <w:spacing w:line="560" w:lineRule="exact"/>
        <w:ind w:firstLineChars="200" w:firstLine="602"/>
        <w:rPr>
          <w:rFonts w:ascii="仿宋_GB2312" w:eastAsia="仿宋_GB2312" w:hAnsi="仿宋" w:hint="eastAsia"/>
          <w:sz w:val="30"/>
          <w:szCs w:val="30"/>
        </w:rPr>
      </w:pPr>
      <w:r>
        <w:rPr>
          <w:rFonts w:ascii="仿宋_GB2312" w:eastAsia="仿宋_GB2312" w:hAnsi="仿宋" w:hint="eastAsia"/>
          <w:b/>
          <w:sz w:val="30"/>
          <w:szCs w:val="30"/>
        </w:rPr>
        <w:t>第十一条</w:t>
      </w:r>
      <w:r>
        <w:rPr>
          <w:rFonts w:ascii="仿宋_GB2312" w:eastAsia="仿宋_GB2312" w:hAnsi="仿宋" w:hint="eastAsia"/>
          <w:sz w:val="30"/>
          <w:szCs w:val="30"/>
        </w:rPr>
        <w:t xml:space="preserve"> 通过验收的发电机组，发电企业应在相关试验报告完成后20个工作日内编制完成验收报告，及时向华北能源监管局和地方政府能源（电力）主管部门报告，并抄送有关电网企业。报告应附验收试验技术报告及相关佐证材料。</w:t>
      </w:r>
    </w:p>
    <w:p w:rsidR="00AC704C" w:rsidRDefault="00AC704C" w:rsidP="00AC704C">
      <w:pPr>
        <w:snapToGrid w:val="0"/>
        <w:spacing w:line="560" w:lineRule="exact"/>
        <w:ind w:firstLineChars="200" w:firstLine="600"/>
        <w:rPr>
          <w:rFonts w:ascii="仿宋" w:eastAsia="仿宋" w:hAnsi="仿宋" w:hint="eastAsia"/>
          <w:sz w:val="30"/>
          <w:szCs w:val="30"/>
        </w:rPr>
      </w:pPr>
      <w:r>
        <w:rPr>
          <w:rFonts w:ascii="仿宋_GB2312" w:eastAsia="仿宋_GB2312" w:hAnsi="仿宋" w:hint="eastAsia"/>
          <w:sz w:val="30"/>
          <w:szCs w:val="30"/>
        </w:rPr>
        <w:lastRenderedPageBreak/>
        <w:t>根据需要，依据发电机组灵活性能力验收结果、发电涉网性能指标、发电企业提供的相关佐证材料等，华北能源监管局会同地方政府能源（电力）主管部门适时组织技术论证并开展现场或非现场检查。对发电企业、第三方试验单位提供虚假或者隐瞒重要事实文件、资料</w:t>
      </w:r>
      <w:r w:rsidRPr="003937F2">
        <w:rPr>
          <w:rFonts w:ascii="仿宋_GB2312" w:eastAsia="仿宋_GB2312" w:hAnsi="仿宋" w:hint="eastAsia"/>
          <w:w w:val="97"/>
          <w:sz w:val="30"/>
          <w:szCs w:val="30"/>
        </w:rPr>
        <w:t>等违反规定等行为进行通报。情节严重的，将视情况依法依规进行处</w:t>
      </w:r>
      <w:r>
        <w:rPr>
          <w:rFonts w:ascii="仿宋_GB2312" w:eastAsia="仿宋_GB2312" w:hAnsi="仿宋" w:hint="eastAsia"/>
          <w:sz w:val="30"/>
          <w:szCs w:val="30"/>
        </w:rPr>
        <w:t>理。</w:t>
      </w:r>
    </w:p>
    <w:p w:rsidR="00AC704C" w:rsidRDefault="00AC704C" w:rsidP="00AC704C">
      <w:pPr>
        <w:snapToGrid w:val="0"/>
        <w:spacing w:line="560" w:lineRule="exact"/>
        <w:jc w:val="center"/>
        <w:rPr>
          <w:rFonts w:ascii="黑体" w:eastAsia="黑体" w:hAnsi="黑体" w:hint="eastAsia"/>
          <w:sz w:val="30"/>
          <w:szCs w:val="30"/>
        </w:rPr>
      </w:pPr>
      <w:r>
        <w:rPr>
          <w:rFonts w:ascii="黑体" w:eastAsia="黑体" w:hAnsi="黑体" w:hint="eastAsia"/>
          <w:sz w:val="30"/>
          <w:szCs w:val="30"/>
        </w:rPr>
        <w:t>第五章  附则</w:t>
      </w:r>
    </w:p>
    <w:p w:rsidR="00AC704C" w:rsidRDefault="00AC704C" w:rsidP="00AC704C">
      <w:pPr>
        <w:snapToGrid w:val="0"/>
        <w:spacing w:line="560" w:lineRule="exact"/>
        <w:ind w:firstLineChars="200" w:firstLine="602"/>
        <w:rPr>
          <w:rFonts w:ascii="仿宋_GB2312" w:eastAsia="仿宋_GB2312" w:hAnsi="仿宋" w:hint="eastAsia"/>
          <w:dstrike/>
          <w:sz w:val="30"/>
          <w:szCs w:val="30"/>
        </w:rPr>
      </w:pPr>
      <w:r>
        <w:rPr>
          <w:rFonts w:ascii="仿宋_GB2312" w:eastAsia="仿宋_GB2312" w:hAnsi="仿宋" w:hint="eastAsia"/>
          <w:b/>
          <w:sz w:val="30"/>
          <w:szCs w:val="30"/>
        </w:rPr>
        <w:t xml:space="preserve">第十二条 </w:t>
      </w:r>
      <w:r>
        <w:rPr>
          <w:rFonts w:ascii="仿宋_GB2312" w:eastAsia="仿宋_GB2312" w:hAnsi="仿宋" w:hint="eastAsia"/>
          <w:sz w:val="30"/>
          <w:szCs w:val="30"/>
        </w:rPr>
        <w:t>本办法由华北能源监管局负责解释。</w:t>
      </w:r>
    </w:p>
    <w:p w:rsidR="00AC704C" w:rsidRDefault="00AC704C" w:rsidP="00AC704C">
      <w:pPr>
        <w:snapToGrid w:val="0"/>
        <w:spacing w:line="560" w:lineRule="exact"/>
        <w:ind w:firstLineChars="200" w:firstLine="602"/>
        <w:rPr>
          <w:rFonts w:ascii="仿宋_GB2312" w:eastAsia="仿宋_GB2312" w:hAnsi="仿宋" w:hint="eastAsia"/>
          <w:sz w:val="30"/>
          <w:szCs w:val="30"/>
        </w:rPr>
      </w:pPr>
      <w:r>
        <w:rPr>
          <w:rFonts w:ascii="仿宋_GB2312" w:eastAsia="仿宋_GB2312" w:hAnsi="仿宋" w:hint="eastAsia"/>
          <w:b/>
          <w:sz w:val="30"/>
          <w:szCs w:val="30"/>
        </w:rPr>
        <w:t xml:space="preserve">第十三条 </w:t>
      </w:r>
      <w:r>
        <w:rPr>
          <w:rFonts w:ascii="仿宋_GB2312" w:eastAsia="仿宋_GB2312" w:hAnsi="仿宋" w:hint="eastAsia"/>
          <w:sz w:val="30"/>
          <w:szCs w:val="30"/>
        </w:rPr>
        <w:t>本办法自</w:t>
      </w:r>
      <w:r>
        <w:rPr>
          <w:rFonts w:ascii="仿宋_GB2312" w:eastAsia="仿宋_GB2312" w:hAnsi="宋体" w:hint="eastAsia"/>
          <w:sz w:val="30"/>
          <w:szCs w:val="30"/>
        </w:rPr>
        <w:t>发布之日</w:t>
      </w:r>
      <w:r>
        <w:rPr>
          <w:rFonts w:ascii="仿宋_GB2312" w:eastAsia="仿宋_GB2312" w:hAnsi="仿宋" w:hint="eastAsia"/>
          <w:sz w:val="30"/>
          <w:szCs w:val="30"/>
        </w:rPr>
        <w:t>起施行，有效期2年。</w:t>
      </w:r>
    </w:p>
    <w:p w:rsidR="00963D12" w:rsidRDefault="00963D12" w:rsidP="00AC704C"/>
    <w:sectPr w:rsidR="00963D12" w:rsidSect="00963D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704C"/>
    <w:rsid w:val="00431BC5"/>
    <w:rsid w:val="00451376"/>
    <w:rsid w:val="005745D2"/>
    <w:rsid w:val="00680230"/>
    <w:rsid w:val="00935654"/>
    <w:rsid w:val="00963D12"/>
    <w:rsid w:val="00A45774"/>
    <w:rsid w:val="00AC704C"/>
    <w:rsid w:val="00B87193"/>
    <w:rsid w:val="00CE3B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0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AC704C"/>
    <w:pPr>
      <w:spacing w:before="152" w:after="160"/>
    </w:pPr>
    <w:rPr>
      <w:rFonts w:ascii="Arial" w:eastAsia="黑体" w:hAnsi="Arial" w:cs="Arial"/>
      <w:sz w:val="20"/>
    </w:rPr>
  </w:style>
  <w:style w:type="paragraph" w:customStyle="1" w:styleId="a4">
    <w:name w:val="报告 正文"/>
    <w:basedOn w:val="a"/>
    <w:rsid w:val="00AC704C"/>
    <w:pPr>
      <w:tabs>
        <w:tab w:val="left" w:pos="2127"/>
      </w:tabs>
      <w:adjustRightInd w:val="0"/>
      <w:spacing w:line="520" w:lineRule="exact"/>
      <w:ind w:firstLineChars="200" w:firstLine="560"/>
    </w:pPr>
    <w:rPr>
      <w:rFonts w:ascii="Calibri" w:hAnsi="Calibri"/>
      <w:color w:val="000000"/>
      <w:sz w:val="28"/>
    </w:rPr>
  </w:style>
  <w:style w:type="paragraph" w:customStyle="1" w:styleId="a5">
    <w:name w:val="段"/>
    <w:rsid w:val="00AC704C"/>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paragraph" w:styleId="a6">
    <w:name w:val="Balloon Text"/>
    <w:basedOn w:val="a"/>
    <w:link w:val="Char"/>
    <w:uiPriority w:val="99"/>
    <w:semiHidden/>
    <w:unhideWhenUsed/>
    <w:rsid w:val="00AC704C"/>
    <w:rPr>
      <w:sz w:val="18"/>
      <w:szCs w:val="18"/>
    </w:rPr>
  </w:style>
  <w:style w:type="character" w:customStyle="1" w:styleId="Char">
    <w:name w:val="批注框文本 Char"/>
    <w:basedOn w:val="a0"/>
    <w:link w:val="a6"/>
    <w:uiPriority w:val="99"/>
    <w:semiHidden/>
    <w:rsid w:val="00AC704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429</Words>
  <Characters>2450</Characters>
  <Application>Microsoft Office Word</Application>
  <DocSecurity>0</DocSecurity>
  <Lines>20</Lines>
  <Paragraphs>5</Paragraphs>
  <ScaleCrop>false</ScaleCrop>
  <Company>CHINA</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2021-12-31T10:14:00Z</dcterms:created>
  <dcterms:modified xsi:type="dcterms:W3CDTF">2021-12-31T10:16:00Z</dcterms:modified>
</cp:coreProperties>
</file>